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53439">
      <w:pPr>
        <w:adjustRightInd w:val="0"/>
        <w:snapToGrid w:val="0"/>
        <w:spacing w:line="288" w:lineRule="auto"/>
        <w:jc w:val="center"/>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浙江经济职业技术学院</w:t>
      </w:r>
    </w:p>
    <w:p w14:paraId="6A979113">
      <w:pPr>
        <w:adjustRightInd w:val="0"/>
        <w:snapToGrid w:val="0"/>
        <w:spacing w:line="288" w:lineRule="auto"/>
        <w:jc w:val="center"/>
        <w:rPr>
          <w:rFonts w:hint="default" w:ascii="楷体" w:hAnsi="楷体" w:eastAsia="楷体" w:cs="楷体"/>
          <w:b/>
          <w:bCs/>
          <w:color w:val="auto"/>
          <w:sz w:val="44"/>
          <w:szCs w:val="44"/>
          <w:highlight w:val="none"/>
          <w:lang w:val="en-US"/>
        </w:rPr>
      </w:pPr>
      <w:r>
        <w:rPr>
          <w:rFonts w:hint="eastAsia" w:ascii="楷体" w:hAnsi="楷体" w:eastAsia="楷体" w:cs="楷体"/>
          <w:b/>
          <w:bCs/>
          <w:color w:val="auto"/>
          <w:sz w:val="44"/>
          <w:szCs w:val="44"/>
          <w:highlight w:val="none"/>
          <w:lang w:val="en-US" w:eastAsia="zh-CN"/>
        </w:rPr>
        <w:t>机房蓄电池维修及UPS搬迁服务项目</w:t>
      </w:r>
    </w:p>
    <w:p w14:paraId="4679E448">
      <w:pPr>
        <w:adjustRightInd w:val="0"/>
        <w:snapToGrid w:val="0"/>
        <w:spacing w:line="288" w:lineRule="auto"/>
        <w:jc w:val="center"/>
        <w:outlineLvl w:val="0"/>
        <w:rPr>
          <w:rFonts w:hint="eastAsia"/>
          <w:b/>
          <w:bCs/>
          <w:color w:val="auto"/>
          <w:sz w:val="32"/>
          <w:szCs w:val="32"/>
          <w:highlight w:val="none"/>
        </w:rPr>
      </w:pPr>
      <w:bookmarkStart w:id="0" w:name="_Toc28359079"/>
      <w:bookmarkStart w:id="1" w:name="_Toc28359002"/>
      <w:bookmarkStart w:id="2" w:name="_Toc35393790"/>
      <w:bookmarkStart w:id="3" w:name="_Toc35393621"/>
      <w:bookmarkStart w:id="4" w:name="_Hlk24379207"/>
    </w:p>
    <w:p w14:paraId="31D419CE">
      <w:pPr>
        <w:adjustRightInd w:val="0"/>
        <w:snapToGrid w:val="0"/>
        <w:spacing w:line="288" w:lineRule="auto"/>
        <w:jc w:val="center"/>
        <w:outlineLvl w:val="0"/>
        <w:rPr>
          <w:rFonts w:cs="楷体"/>
          <w:color w:val="auto"/>
          <w:sz w:val="21"/>
          <w:szCs w:val="21"/>
          <w:highlight w:val="none"/>
        </w:rPr>
      </w:pPr>
      <w:r>
        <w:rPr>
          <w:rFonts w:hint="eastAsia"/>
          <w:b/>
          <w:bCs/>
          <w:color w:val="auto"/>
          <w:sz w:val="32"/>
          <w:szCs w:val="32"/>
          <w:highlight w:val="none"/>
        </w:rPr>
        <w:t xml:space="preserve">第一章 </w:t>
      </w:r>
      <w:r>
        <w:rPr>
          <w:b/>
          <w:bCs/>
          <w:color w:val="auto"/>
          <w:sz w:val="32"/>
          <w:szCs w:val="32"/>
          <w:highlight w:val="none"/>
        </w:rPr>
        <w:t xml:space="preserve"> </w:t>
      </w:r>
      <w:r>
        <w:rPr>
          <w:rFonts w:hint="eastAsia"/>
          <w:b/>
          <w:bCs/>
          <w:color w:val="auto"/>
          <w:sz w:val="32"/>
          <w:szCs w:val="32"/>
          <w:highlight w:val="none"/>
          <w:lang w:val="en-US" w:eastAsia="zh-CN"/>
        </w:rPr>
        <w:t>询价</w:t>
      </w:r>
      <w:r>
        <w:rPr>
          <w:rFonts w:hint="eastAsia"/>
          <w:b/>
          <w:bCs/>
          <w:color w:val="auto"/>
          <w:sz w:val="32"/>
          <w:szCs w:val="32"/>
          <w:highlight w:val="none"/>
        </w:rPr>
        <w:t>邀请</w:t>
      </w:r>
    </w:p>
    <w:p w14:paraId="30CD90B5">
      <w:pPr>
        <w:adjustRightInd w:val="0"/>
        <w:snapToGrid w:val="0"/>
        <w:spacing w:line="288" w:lineRule="auto"/>
        <w:rPr>
          <w:rFonts w:hint="eastAsia"/>
          <w:b/>
          <w:color w:val="auto"/>
          <w:sz w:val="21"/>
          <w:szCs w:val="21"/>
          <w:highlight w:val="none"/>
        </w:rPr>
      </w:pPr>
    </w:p>
    <w:p w14:paraId="27AB13CC">
      <w:pPr>
        <w:adjustRightInd w:val="0"/>
        <w:snapToGrid w:val="0"/>
        <w:spacing w:line="288" w:lineRule="auto"/>
        <w:rPr>
          <w:b/>
          <w:color w:val="auto"/>
          <w:sz w:val="21"/>
          <w:szCs w:val="21"/>
          <w:highlight w:val="none"/>
        </w:rPr>
      </w:pPr>
      <w:r>
        <w:rPr>
          <w:rFonts w:hint="eastAsia"/>
          <w:b/>
          <w:color w:val="auto"/>
          <w:sz w:val="21"/>
          <w:szCs w:val="21"/>
          <w:highlight w:val="none"/>
        </w:rPr>
        <w:t>一、项目基本情况</w:t>
      </w:r>
      <w:bookmarkEnd w:id="0"/>
      <w:bookmarkEnd w:id="1"/>
      <w:bookmarkEnd w:id="2"/>
      <w:bookmarkEnd w:id="3"/>
    </w:p>
    <w:p w14:paraId="17454952">
      <w:pPr>
        <w:adjustRightInd w:val="0"/>
        <w:snapToGrid w:val="0"/>
        <w:spacing w:line="288" w:lineRule="auto"/>
        <w:ind w:firstLine="420" w:firstLineChars="200"/>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项目名称：</w:t>
      </w:r>
      <w:r>
        <w:rPr>
          <w:rFonts w:hint="eastAsia"/>
          <w:color w:val="auto"/>
          <w:sz w:val="21"/>
          <w:szCs w:val="21"/>
          <w:highlight w:val="none"/>
          <w:lang w:val="en-US" w:eastAsia="zh-CN"/>
        </w:rPr>
        <w:t>机房蓄电池维修及UPS搬迁服务</w:t>
      </w:r>
    </w:p>
    <w:p w14:paraId="45DC75C7">
      <w:pPr>
        <w:adjustRightInd w:val="0"/>
        <w:snapToGrid w:val="0"/>
        <w:spacing w:line="288"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eastAsia"/>
          <w:color w:val="auto"/>
          <w:sz w:val="21"/>
          <w:szCs w:val="21"/>
          <w:highlight w:val="none"/>
        </w:rPr>
        <w:t>采购方式：</w:t>
      </w:r>
      <w:r>
        <w:rPr>
          <w:rFonts w:hint="eastAsia"/>
          <w:color w:val="auto"/>
          <w:sz w:val="21"/>
          <w:szCs w:val="21"/>
          <w:highlight w:val="none"/>
          <w:lang w:val="en-US" w:eastAsia="zh-CN"/>
        </w:rPr>
        <w:t>询价网超采购</w:t>
      </w:r>
    </w:p>
    <w:bookmarkEnd w:id="4"/>
    <w:p w14:paraId="186D1064">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预算金额：</w:t>
      </w:r>
      <w:r>
        <w:rPr>
          <w:rFonts w:hint="eastAsia"/>
          <w:color w:val="auto"/>
          <w:sz w:val="21"/>
          <w:szCs w:val="21"/>
          <w:highlight w:val="none"/>
          <w:lang w:val="en-US" w:eastAsia="zh-CN"/>
        </w:rPr>
        <w:t>72000</w:t>
      </w:r>
      <w:r>
        <w:rPr>
          <w:rFonts w:hint="eastAsia"/>
          <w:color w:val="auto"/>
          <w:sz w:val="21"/>
          <w:szCs w:val="21"/>
          <w:highlight w:val="none"/>
        </w:rPr>
        <w:t>元</w:t>
      </w:r>
    </w:p>
    <w:p w14:paraId="0A334808">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最高限价：</w:t>
      </w:r>
      <w:r>
        <w:rPr>
          <w:rFonts w:hint="eastAsia"/>
          <w:color w:val="auto"/>
          <w:sz w:val="21"/>
          <w:szCs w:val="21"/>
          <w:highlight w:val="none"/>
          <w:lang w:val="en-US" w:eastAsia="zh-CN"/>
        </w:rPr>
        <w:t>72000</w:t>
      </w:r>
      <w:r>
        <w:rPr>
          <w:rFonts w:hint="eastAsia"/>
          <w:color w:val="auto"/>
          <w:sz w:val="21"/>
          <w:szCs w:val="21"/>
          <w:highlight w:val="none"/>
        </w:rPr>
        <w:t>元</w:t>
      </w:r>
    </w:p>
    <w:p w14:paraId="79A3FC8D">
      <w:pPr>
        <w:adjustRightInd w:val="0"/>
        <w:snapToGrid w:val="0"/>
        <w:spacing w:line="288" w:lineRule="auto"/>
        <w:ind w:firstLine="420" w:firstLineChars="200"/>
        <w:rPr>
          <w:color w:val="auto"/>
          <w:spacing w:val="-6"/>
          <w:sz w:val="21"/>
          <w:szCs w:val="21"/>
          <w:highlight w:val="none"/>
        </w:rPr>
      </w:pPr>
      <w:r>
        <w:rPr>
          <w:rFonts w:hint="eastAsia"/>
          <w:color w:val="auto"/>
          <w:sz w:val="21"/>
          <w:szCs w:val="21"/>
          <w:highlight w:val="none"/>
          <w:lang w:val="en-US" w:eastAsia="zh-CN"/>
        </w:rPr>
        <w:t>5、</w:t>
      </w:r>
      <w:r>
        <w:rPr>
          <w:rFonts w:hint="eastAsia"/>
          <w:color w:val="auto"/>
          <w:sz w:val="21"/>
          <w:szCs w:val="21"/>
          <w:highlight w:val="none"/>
        </w:rPr>
        <w:t>合同履约期限：</w:t>
      </w:r>
      <w:r>
        <w:rPr>
          <w:rFonts w:hint="eastAsia"/>
          <w:color w:val="auto"/>
          <w:spacing w:val="-6"/>
          <w:sz w:val="21"/>
          <w:szCs w:val="21"/>
          <w:highlight w:val="none"/>
        </w:rPr>
        <w:t>合同签订之日起</w:t>
      </w:r>
      <w:r>
        <w:rPr>
          <w:rFonts w:hint="eastAsia"/>
          <w:color w:val="auto"/>
          <w:spacing w:val="-6"/>
          <w:sz w:val="21"/>
          <w:szCs w:val="21"/>
          <w:highlight w:val="none"/>
          <w:lang w:val="en-US" w:eastAsia="zh-CN"/>
        </w:rPr>
        <w:t>30</w:t>
      </w:r>
      <w:r>
        <w:rPr>
          <w:rFonts w:hint="eastAsia"/>
          <w:color w:val="auto"/>
          <w:spacing w:val="-6"/>
          <w:sz w:val="21"/>
          <w:szCs w:val="21"/>
          <w:highlight w:val="none"/>
        </w:rPr>
        <w:t>个工作日内完成交付</w:t>
      </w:r>
    </w:p>
    <w:p w14:paraId="71894DE5">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lang w:val="en-US" w:eastAsia="zh-CN"/>
        </w:rPr>
        <w:t>6、</w:t>
      </w:r>
      <w:r>
        <w:rPr>
          <w:rFonts w:hint="eastAsia"/>
          <w:color w:val="auto"/>
          <w:sz w:val="21"/>
          <w:szCs w:val="21"/>
          <w:highlight w:val="none"/>
        </w:rPr>
        <w:t>采购需求：</w:t>
      </w:r>
    </w:p>
    <w:tbl>
      <w:tblPr>
        <w:tblStyle w:val="13"/>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06"/>
        <w:gridCol w:w="708"/>
        <w:gridCol w:w="709"/>
        <w:gridCol w:w="3119"/>
        <w:gridCol w:w="1276"/>
      </w:tblGrid>
      <w:tr w14:paraId="07B17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75" w:type="dxa"/>
            <w:tcBorders>
              <w:tl2br w:val="nil"/>
              <w:tr2bl w:val="nil"/>
            </w:tcBorders>
            <w:vAlign w:val="center"/>
          </w:tcPr>
          <w:p w14:paraId="47D875DD">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序号</w:t>
            </w:r>
          </w:p>
        </w:tc>
        <w:tc>
          <w:tcPr>
            <w:tcW w:w="3006" w:type="dxa"/>
            <w:tcBorders>
              <w:right w:val="single" w:color="auto" w:sz="4" w:space="0"/>
              <w:tl2br w:val="nil"/>
              <w:tr2bl w:val="nil"/>
            </w:tcBorders>
            <w:vAlign w:val="center"/>
          </w:tcPr>
          <w:p w14:paraId="6D3BB639">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名称</w:t>
            </w:r>
          </w:p>
        </w:tc>
        <w:tc>
          <w:tcPr>
            <w:tcW w:w="708" w:type="dxa"/>
            <w:tcBorders>
              <w:tl2br w:val="nil"/>
              <w:tr2bl w:val="nil"/>
            </w:tcBorders>
            <w:vAlign w:val="center"/>
          </w:tcPr>
          <w:p w14:paraId="05A6AF33">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数量</w:t>
            </w:r>
          </w:p>
        </w:tc>
        <w:tc>
          <w:tcPr>
            <w:tcW w:w="709" w:type="dxa"/>
            <w:tcBorders>
              <w:tl2br w:val="nil"/>
              <w:tr2bl w:val="nil"/>
            </w:tcBorders>
            <w:vAlign w:val="center"/>
          </w:tcPr>
          <w:p w14:paraId="37CF11AC">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单位</w:t>
            </w:r>
          </w:p>
        </w:tc>
        <w:tc>
          <w:tcPr>
            <w:tcW w:w="3119" w:type="dxa"/>
            <w:tcBorders>
              <w:right w:val="single" w:color="auto" w:sz="4" w:space="0"/>
              <w:tl2br w:val="nil"/>
              <w:tr2bl w:val="nil"/>
            </w:tcBorders>
            <w:vAlign w:val="center"/>
          </w:tcPr>
          <w:p w14:paraId="794B95D7">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简要技术需求或服务要求</w:t>
            </w:r>
          </w:p>
        </w:tc>
        <w:tc>
          <w:tcPr>
            <w:tcW w:w="1276" w:type="dxa"/>
            <w:tcBorders>
              <w:right w:val="single" w:color="auto" w:sz="4" w:space="0"/>
              <w:tl2br w:val="nil"/>
              <w:tr2bl w:val="nil"/>
            </w:tcBorders>
            <w:vAlign w:val="center"/>
          </w:tcPr>
          <w:p w14:paraId="7B32F11B">
            <w:pPr>
              <w:adjustRightInd w:val="0"/>
              <w:snapToGrid w:val="0"/>
              <w:spacing w:line="288" w:lineRule="auto"/>
              <w:jc w:val="center"/>
              <w:rPr>
                <w:b/>
                <w:bCs/>
                <w:color w:val="auto"/>
                <w:sz w:val="21"/>
                <w:szCs w:val="21"/>
                <w:highlight w:val="none"/>
              </w:rPr>
            </w:pPr>
            <w:r>
              <w:rPr>
                <w:rFonts w:hint="eastAsia"/>
                <w:b/>
                <w:color w:val="auto"/>
                <w:sz w:val="21"/>
                <w:szCs w:val="21"/>
                <w:highlight w:val="none"/>
              </w:rPr>
              <w:t>是否允许采购进口产品</w:t>
            </w:r>
          </w:p>
        </w:tc>
      </w:tr>
      <w:tr w14:paraId="7FF90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5486C266">
            <w:pPr>
              <w:adjustRightInd w:val="0"/>
              <w:snapToGrid w:val="0"/>
              <w:spacing w:line="288" w:lineRule="auto"/>
              <w:jc w:val="center"/>
              <w:rPr>
                <w:bCs/>
                <w:color w:val="auto"/>
                <w:sz w:val="21"/>
                <w:szCs w:val="21"/>
                <w:highlight w:val="none"/>
              </w:rPr>
            </w:pPr>
            <w:r>
              <w:rPr>
                <w:rFonts w:hint="eastAsia"/>
                <w:bCs/>
                <w:color w:val="auto"/>
                <w:sz w:val="21"/>
                <w:szCs w:val="21"/>
                <w:highlight w:val="none"/>
              </w:rPr>
              <w:t>一</w:t>
            </w:r>
          </w:p>
        </w:tc>
        <w:tc>
          <w:tcPr>
            <w:tcW w:w="3006" w:type="dxa"/>
            <w:tcBorders>
              <w:right w:val="single" w:color="auto" w:sz="4" w:space="0"/>
              <w:tl2br w:val="nil"/>
              <w:tr2bl w:val="nil"/>
            </w:tcBorders>
            <w:vAlign w:val="center"/>
          </w:tcPr>
          <w:p w14:paraId="2C923CBB">
            <w:pPr>
              <w:adjustRightInd w:val="0"/>
              <w:snapToGrid w:val="0"/>
              <w:spacing w:line="288" w:lineRule="auto"/>
              <w:jc w:val="center"/>
              <w:rPr>
                <w:bCs/>
                <w:color w:val="auto"/>
                <w:sz w:val="21"/>
                <w:szCs w:val="21"/>
                <w:highlight w:val="none"/>
              </w:rPr>
            </w:pPr>
            <w:r>
              <w:rPr>
                <w:rFonts w:hint="eastAsia"/>
                <w:color w:val="auto"/>
                <w:sz w:val="21"/>
                <w:szCs w:val="21"/>
                <w:highlight w:val="none"/>
                <w:lang w:val="en-US" w:eastAsia="zh-CN"/>
              </w:rPr>
              <w:t>机房蓄电池维修及UPS搬迁服务</w:t>
            </w:r>
          </w:p>
        </w:tc>
        <w:tc>
          <w:tcPr>
            <w:tcW w:w="708" w:type="dxa"/>
            <w:tcBorders>
              <w:tl2br w:val="nil"/>
              <w:tr2bl w:val="nil"/>
            </w:tcBorders>
            <w:vAlign w:val="center"/>
          </w:tcPr>
          <w:p w14:paraId="1F724F75">
            <w:pPr>
              <w:adjustRightInd w:val="0"/>
              <w:snapToGrid w:val="0"/>
              <w:spacing w:line="288" w:lineRule="auto"/>
              <w:jc w:val="center"/>
              <w:rPr>
                <w:bCs/>
                <w:color w:val="auto"/>
                <w:sz w:val="21"/>
                <w:szCs w:val="21"/>
                <w:highlight w:val="none"/>
              </w:rPr>
            </w:pPr>
            <w:r>
              <w:rPr>
                <w:rFonts w:hint="eastAsia"/>
                <w:bCs/>
                <w:color w:val="auto"/>
                <w:sz w:val="21"/>
                <w:szCs w:val="21"/>
                <w:highlight w:val="none"/>
              </w:rPr>
              <w:t>1</w:t>
            </w:r>
          </w:p>
        </w:tc>
        <w:tc>
          <w:tcPr>
            <w:tcW w:w="709" w:type="dxa"/>
            <w:tcBorders>
              <w:tl2br w:val="nil"/>
              <w:tr2bl w:val="nil"/>
            </w:tcBorders>
            <w:vAlign w:val="center"/>
          </w:tcPr>
          <w:p w14:paraId="41F221C0">
            <w:pPr>
              <w:adjustRightInd w:val="0"/>
              <w:snapToGrid w:val="0"/>
              <w:spacing w:line="288" w:lineRule="auto"/>
              <w:jc w:val="center"/>
              <w:rPr>
                <w:bCs/>
                <w:color w:val="auto"/>
                <w:sz w:val="21"/>
                <w:szCs w:val="21"/>
                <w:highlight w:val="none"/>
              </w:rPr>
            </w:pPr>
            <w:r>
              <w:rPr>
                <w:rFonts w:hint="eastAsia"/>
                <w:bCs/>
                <w:color w:val="auto"/>
                <w:sz w:val="21"/>
                <w:szCs w:val="21"/>
                <w:highlight w:val="none"/>
              </w:rPr>
              <w:t>项</w:t>
            </w:r>
          </w:p>
        </w:tc>
        <w:tc>
          <w:tcPr>
            <w:tcW w:w="3119" w:type="dxa"/>
            <w:tcBorders>
              <w:right w:val="single" w:color="auto" w:sz="4" w:space="0"/>
              <w:tl2br w:val="nil"/>
              <w:tr2bl w:val="nil"/>
            </w:tcBorders>
            <w:vAlign w:val="center"/>
          </w:tcPr>
          <w:p w14:paraId="4D08AB81">
            <w:pPr>
              <w:adjustRightInd w:val="0"/>
              <w:snapToGrid w:val="0"/>
              <w:spacing w:line="288" w:lineRule="auto"/>
              <w:jc w:val="center"/>
              <w:rPr>
                <w:bCs/>
                <w:color w:val="auto"/>
                <w:sz w:val="21"/>
                <w:szCs w:val="21"/>
                <w:highlight w:val="none"/>
              </w:rPr>
            </w:pPr>
            <w:r>
              <w:rPr>
                <w:rFonts w:hint="eastAsia"/>
                <w:bCs/>
                <w:color w:val="auto"/>
                <w:sz w:val="21"/>
                <w:szCs w:val="21"/>
                <w:highlight w:val="none"/>
              </w:rPr>
              <w:t>详见采购需求</w:t>
            </w:r>
          </w:p>
        </w:tc>
        <w:tc>
          <w:tcPr>
            <w:tcW w:w="1276" w:type="dxa"/>
            <w:tcBorders>
              <w:right w:val="single" w:color="auto" w:sz="4" w:space="0"/>
              <w:tl2br w:val="nil"/>
              <w:tr2bl w:val="nil"/>
            </w:tcBorders>
            <w:vAlign w:val="center"/>
          </w:tcPr>
          <w:p w14:paraId="231AC66D">
            <w:pPr>
              <w:adjustRightInd w:val="0"/>
              <w:snapToGrid w:val="0"/>
              <w:spacing w:line="288" w:lineRule="auto"/>
              <w:jc w:val="center"/>
              <w:rPr>
                <w:color w:val="auto"/>
                <w:sz w:val="21"/>
                <w:szCs w:val="21"/>
                <w:highlight w:val="none"/>
              </w:rPr>
            </w:pPr>
            <w:r>
              <w:rPr>
                <w:rFonts w:hint="eastAsia"/>
                <w:color w:val="auto"/>
                <w:sz w:val="21"/>
                <w:szCs w:val="21"/>
                <w:highlight w:val="none"/>
              </w:rPr>
              <w:t>否</w:t>
            </w:r>
          </w:p>
        </w:tc>
      </w:tr>
    </w:tbl>
    <w:p w14:paraId="2CF9088B">
      <w:pPr>
        <w:adjustRightInd w:val="0"/>
        <w:snapToGrid w:val="0"/>
        <w:spacing w:line="288" w:lineRule="auto"/>
        <w:rPr>
          <w:b/>
          <w:color w:val="auto"/>
          <w:sz w:val="21"/>
          <w:szCs w:val="21"/>
          <w:highlight w:val="none"/>
        </w:rPr>
      </w:pPr>
      <w:bookmarkStart w:id="5" w:name="_Toc28359080"/>
      <w:bookmarkStart w:id="6" w:name="_Toc28359003"/>
      <w:bookmarkStart w:id="7" w:name="_Toc35393791"/>
      <w:bookmarkStart w:id="8" w:name="_Toc35393622"/>
      <w:r>
        <w:rPr>
          <w:rFonts w:hint="eastAsia"/>
          <w:b/>
          <w:color w:val="auto"/>
          <w:sz w:val="21"/>
          <w:szCs w:val="21"/>
          <w:highlight w:val="none"/>
        </w:rPr>
        <w:t>二、申请人的资格要求：</w:t>
      </w:r>
      <w:bookmarkEnd w:id="5"/>
      <w:bookmarkEnd w:id="6"/>
      <w:bookmarkEnd w:id="7"/>
      <w:bookmarkEnd w:id="8"/>
    </w:p>
    <w:p w14:paraId="12DDE060">
      <w:pPr>
        <w:adjustRightInd w:val="0"/>
        <w:snapToGrid w:val="0"/>
        <w:spacing w:line="288" w:lineRule="auto"/>
        <w:ind w:firstLine="420" w:firstLineChars="200"/>
        <w:rPr>
          <w:rFonts w:cs="Times New Roman"/>
          <w:bCs/>
          <w:color w:val="auto"/>
          <w:sz w:val="21"/>
          <w:szCs w:val="21"/>
          <w:highlight w:val="none"/>
        </w:rPr>
      </w:pPr>
      <w:bookmarkStart w:id="9" w:name="_Toc28359081"/>
      <w:bookmarkStart w:id="10" w:name="_Toc28359004"/>
      <w:r>
        <w:rPr>
          <w:rFonts w:hint="eastAsia" w:cs="Times New Roman"/>
          <w:bCs/>
          <w:color w:val="auto"/>
          <w:sz w:val="21"/>
          <w:szCs w:val="21"/>
          <w:highlight w:val="none"/>
        </w:rPr>
        <w:t>1.满足《中华人民共和国政府采购法》第二十二条规定，未被“信用中国”（</w:t>
      </w:r>
      <w:r>
        <w:rPr>
          <w:rFonts w:cs="Times New Roman"/>
          <w:bCs/>
          <w:color w:val="auto"/>
          <w:sz w:val="21"/>
          <w:szCs w:val="21"/>
          <w:highlight w:val="none"/>
        </w:rPr>
        <w:t>www.creditchina.gov.cn</w:t>
      </w:r>
      <w:r>
        <w:rPr>
          <w:rFonts w:hint="eastAsia" w:cs="Times New Roman"/>
          <w:bCs/>
          <w:color w:val="auto"/>
          <w:sz w:val="21"/>
          <w:szCs w:val="21"/>
          <w:highlight w:val="none"/>
        </w:rPr>
        <w:t>）</w:t>
      </w:r>
      <w:r>
        <w:rPr>
          <w:rFonts w:cs="Times New Roman"/>
          <w:bCs/>
          <w:color w:val="auto"/>
          <w:sz w:val="21"/>
          <w:szCs w:val="21"/>
          <w:highlight w:val="none"/>
        </w:rPr>
        <w:t>、中国政府采购网（www.ccgp.gov.cn）列入失信被执行人、重大税收违法案件当事人名单、政府采购严重违法失信行为记录名单。</w:t>
      </w:r>
    </w:p>
    <w:p w14:paraId="3B4C54B9">
      <w:pPr>
        <w:adjustRightInd w:val="0"/>
        <w:snapToGrid w:val="0"/>
        <w:spacing w:line="288" w:lineRule="auto"/>
        <w:ind w:firstLine="420" w:firstLineChars="200"/>
        <w:rPr>
          <w:rFonts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2</w:t>
      </w:r>
      <w:r>
        <w:rPr>
          <w:rFonts w:ascii="宋体" w:hAnsi="宋体" w:eastAsia="宋体" w:cs="Times New Roman"/>
          <w:bCs/>
          <w:color w:val="auto"/>
          <w:sz w:val="21"/>
          <w:szCs w:val="21"/>
          <w:highlight w:val="none"/>
          <w:lang w:val="en-US" w:eastAsia="zh-CN"/>
        </w:rPr>
        <w:t>.</w:t>
      </w:r>
      <w:r>
        <w:rPr>
          <w:rFonts w:hint="default" w:ascii="宋体" w:hAnsi="宋体" w:eastAsia="宋体" w:cs="Times New Roman"/>
          <w:bCs/>
          <w:color w:val="auto"/>
          <w:sz w:val="21"/>
          <w:szCs w:val="21"/>
          <w:highlight w:val="none"/>
          <w:lang w:val="en-US" w:eastAsia="zh-CN"/>
        </w:rPr>
        <w:t>具有独立承担民事责任的能力；</w:t>
      </w:r>
    </w:p>
    <w:p w14:paraId="5FC22D97">
      <w:pPr>
        <w:adjustRightInd w:val="0"/>
        <w:snapToGrid w:val="0"/>
        <w:spacing w:line="288" w:lineRule="auto"/>
        <w:ind w:firstLine="420" w:firstLineChars="200"/>
        <w:rPr>
          <w:rFonts w:hint="default"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3</w:t>
      </w:r>
      <w:r>
        <w:rPr>
          <w:rFonts w:hint="default" w:ascii="宋体" w:hAnsi="宋体" w:eastAsia="宋体" w:cs="Times New Roman"/>
          <w:bCs/>
          <w:color w:val="auto"/>
          <w:sz w:val="21"/>
          <w:szCs w:val="21"/>
          <w:highlight w:val="none"/>
          <w:lang w:val="en-US" w:eastAsia="zh-CN"/>
        </w:rPr>
        <w:t>.具有良好的商业信誉和健全的财务会计制度；</w:t>
      </w:r>
    </w:p>
    <w:p w14:paraId="4ED248D3">
      <w:pPr>
        <w:adjustRightInd w:val="0"/>
        <w:snapToGrid w:val="0"/>
        <w:spacing w:line="288" w:lineRule="auto"/>
        <w:ind w:firstLine="420" w:firstLineChars="200"/>
        <w:rPr>
          <w:rFonts w:hint="default"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4</w:t>
      </w:r>
      <w:r>
        <w:rPr>
          <w:rFonts w:hint="default" w:ascii="宋体" w:hAnsi="宋体" w:eastAsia="宋体" w:cs="Times New Roman"/>
          <w:bCs/>
          <w:color w:val="auto"/>
          <w:sz w:val="21"/>
          <w:szCs w:val="21"/>
          <w:highlight w:val="none"/>
          <w:lang w:val="en-US" w:eastAsia="zh-CN"/>
        </w:rPr>
        <w:t>.具有履行合同所必需的专业技术和后备设备能力；</w:t>
      </w:r>
    </w:p>
    <w:p w14:paraId="0B0A4A8B">
      <w:pPr>
        <w:adjustRightInd w:val="0"/>
        <w:snapToGrid w:val="0"/>
        <w:spacing w:line="288" w:lineRule="auto"/>
        <w:ind w:firstLine="420" w:firstLineChars="200"/>
        <w:rPr>
          <w:rFonts w:hint="default"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5</w:t>
      </w:r>
      <w:r>
        <w:rPr>
          <w:rFonts w:hint="default" w:ascii="宋体" w:hAnsi="宋体" w:eastAsia="宋体" w:cs="Times New Roman"/>
          <w:bCs/>
          <w:color w:val="auto"/>
          <w:sz w:val="21"/>
          <w:szCs w:val="21"/>
          <w:highlight w:val="none"/>
          <w:lang w:val="en-US" w:eastAsia="zh-CN"/>
        </w:rPr>
        <w:t>.有依法缴纳税收和社会保障资金的良好记录；</w:t>
      </w:r>
    </w:p>
    <w:p w14:paraId="2A3D5266">
      <w:pPr>
        <w:adjustRightInd w:val="0"/>
        <w:snapToGrid w:val="0"/>
        <w:spacing w:line="288" w:lineRule="auto"/>
        <w:ind w:firstLine="420" w:firstLineChars="200"/>
        <w:rPr>
          <w:rFonts w:hint="default"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6</w:t>
      </w:r>
      <w:r>
        <w:rPr>
          <w:rFonts w:hint="default" w:ascii="宋体" w:hAnsi="宋体" w:eastAsia="宋体" w:cs="Times New Roman"/>
          <w:bCs/>
          <w:color w:val="auto"/>
          <w:sz w:val="21"/>
          <w:szCs w:val="21"/>
          <w:highlight w:val="none"/>
          <w:lang w:val="en-US" w:eastAsia="zh-CN"/>
        </w:rPr>
        <w:t>.法律、行政法规规定的其他条件；</w:t>
      </w:r>
    </w:p>
    <w:p w14:paraId="005B806E">
      <w:pPr>
        <w:adjustRightInd w:val="0"/>
        <w:snapToGrid w:val="0"/>
        <w:spacing w:line="288" w:lineRule="auto"/>
        <w:ind w:firstLine="420" w:firstLineChars="200"/>
        <w:rPr>
          <w:rFonts w:hint="default"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7</w:t>
      </w:r>
      <w:r>
        <w:rPr>
          <w:rFonts w:hint="default" w:ascii="宋体" w:hAnsi="宋体" w:eastAsia="宋体" w:cs="Times New Roman"/>
          <w:bCs/>
          <w:color w:val="auto"/>
          <w:sz w:val="21"/>
          <w:szCs w:val="21"/>
          <w:highlight w:val="none"/>
          <w:lang w:val="en-US" w:eastAsia="zh-CN"/>
        </w:rPr>
        <w:t>.注册资本人民币5</w:t>
      </w:r>
      <w:r>
        <w:rPr>
          <w:rFonts w:hint="eastAsia" w:ascii="宋体" w:hAnsi="宋体" w:eastAsia="宋体" w:cs="Times New Roman"/>
          <w:bCs/>
          <w:color w:val="auto"/>
          <w:sz w:val="21"/>
          <w:szCs w:val="21"/>
          <w:highlight w:val="none"/>
          <w:lang w:val="en-US" w:eastAsia="zh-CN"/>
        </w:rPr>
        <w:t>0</w:t>
      </w:r>
      <w:r>
        <w:rPr>
          <w:rFonts w:hint="default" w:ascii="宋体" w:hAnsi="宋体" w:eastAsia="宋体" w:cs="Times New Roman"/>
          <w:bCs/>
          <w:color w:val="auto"/>
          <w:sz w:val="21"/>
          <w:szCs w:val="21"/>
          <w:highlight w:val="none"/>
          <w:lang w:val="en-US" w:eastAsia="zh-CN"/>
        </w:rPr>
        <w:t>万元（含）以上；</w:t>
      </w:r>
    </w:p>
    <w:p w14:paraId="2D634466">
      <w:pPr>
        <w:adjustRightInd w:val="0"/>
        <w:snapToGrid w:val="0"/>
        <w:spacing w:line="288" w:lineRule="auto"/>
        <w:ind w:firstLine="420" w:firstLineChars="200"/>
        <w:rPr>
          <w:rFonts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8</w:t>
      </w:r>
      <w:r>
        <w:rPr>
          <w:rFonts w:hint="default" w:ascii="宋体" w:hAnsi="宋体" w:eastAsia="宋体" w:cs="Times New Roman"/>
          <w:bCs/>
          <w:color w:val="auto"/>
          <w:sz w:val="21"/>
          <w:szCs w:val="21"/>
          <w:highlight w:val="none"/>
          <w:lang w:val="en-US" w:eastAsia="zh-CN"/>
        </w:rPr>
        <w:t>.供应商具有提供本次弱电井道改造的服务能力</w:t>
      </w:r>
      <w:r>
        <w:rPr>
          <w:rFonts w:hint="eastAsia" w:ascii="宋体" w:hAnsi="宋体" w:eastAsia="宋体" w:cs="Times New Roman"/>
          <w:bCs/>
          <w:color w:val="auto"/>
          <w:sz w:val="21"/>
          <w:szCs w:val="21"/>
          <w:highlight w:val="none"/>
        </w:rPr>
        <w:t>。</w:t>
      </w:r>
    </w:p>
    <w:bookmarkEnd w:id="9"/>
    <w:bookmarkEnd w:id="10"/>
    <w:p w14:paraId="334578BA">
      <w:pPr>
        <w:adjustRightInd w:val="0"/>
        <w:snapToGrid w:val="0"/>
        <w:spacing w:line="288" w:lineRule="auto"/>
        <w:rPr>
          <w:rFonts w:hint="default" w:eastAsia="宋体"/>
          <w:b/>
          <w:color w:val="auto"/>
          <w:sz w:val="21"/>
          <w:szCs w:val="21"/>
          <w:highlight w:val="none"/>
          <w:lang w:val="en-US" w:eastAsia="zh-CN"/>
        </w:rPr>
      </w:pPr>
      <w:bookmarkStart w:id="11" w:name="_Toc35393794"/>
      <w:bookmarkStart w:id="12" w:name="_Toc28359084"/>
      <w:bookmarkStart w:id="13" w:name="_Toc28359007"/>
      <w:bookmarkStart w:id="14" w:name="_Toc35393625"/>
      <w:r>
        <w:rPr>
          <w:rFonts w:hint="eastAsia"/>
          <w:b/>
          <w:color w:val="auto"/>
          <w:sz w:val="21"/>
          <w:szCs w:val="21"/>
          <w:highlight w:val="none"/>
          <w:lang w:val="en-US" w:eastAsia="zh-CN"/>
        </w:rPr>
        <w:t>三</w:t>
      </w:r>
      <w:r>
        <w:rPr>
          <w:rFonts w:hint="eastAsia"/>
          <w:b/>
          <w:color w:val="auto"/>
          <w:sz w:val="21"/>
          <w:szCs w:val="21"/>
          <w:highlight w:val="none"/>
        </w:rPr>
        <w:t>、</w:t>
      </w:r>
      <w:r>
        <w:rPr>
          <w:rFonts w:hint="eastAsia"/>
          <w:b/>
          <w:color w:val="auto"/>
          <w:sz w:val="21"/>
          <w:szCs w:val="21"/>
          <w:highlight w:val="none"/>
          <w:lang w:val="en-US" w:eastAsia="zh-CN"/>
        </w:rPr>
        <w:t>报价截止时间</w:t>
      </w:r>
    </w:p>
    <w:bookmarkEnd w:id="11"/>
    <w:bookmarkEnd w:id="12"/>
    <w:bookmarkEnd w:id="13"/>
    <w:bookmarkEnd w:id="14"/>
    <w:p w14:paraId="20370B65">
      <w:pPr>
        <w:adjustRightInd w:val="0"/>
        <w:snapToGrid w:val="0"/>
        <w:spacing w:line="288" w:lineRule="auto"/>
        <w:ind w:firstLine="420" w:firstLineChars="200"/>
        <w:rPr>
          <w:rFonts w:hint="eastAsia" w:ascii="宋体" w:hAnsi="宋体" w:eastAsia="宋体" w:cs="宋体"/>
          <w:i w:val="0"/>
          <w:iCs w:val="0"/>
          <w:caps w:val="0"/>
          <w:color w:val="000000"/>
          <w:spacing w:val="0"/>
          <w:sz w:val="21"/>
          <w:szCs w:val="21"/>
        </w:rPr>
      </w:pPr>
      <w:bookmarkStart w:id="29" w:name="_GoBack"/>
      <w:bookmarkEnd w:id="29"/>
      <w:bookmarkStart w:id="15" w:name="_Toc35393795"/>
      <w:bookmarkStart w:id="16" w:name="_Toc35393626"/>
      <w:r>
        <w:rPr>
          <w:rFonts w:hint="eastAsia" w:ascii="宋体" w:hAnsi="宋体" w:eastAsia="宋体" w:cs="宋体"/>
          <w:i w:val="0"/>
          <w:iCs w:val="0"/>
          <w:caps w:val="0"/>
          <w:color w:val="000000"/>
          <w:spacing w:val="0"/>
          <w:sz w:val="21"/>
          <w:szCs w:val="21"/>
        </w:rPr>
        <w:t>2025年11月7日下午14:00（北京时间）地点信息楼十楼1002会议室</w:t>
      </w:r>
    </w:p>
    <w:p w14:paraId="5281722C">
      <w:pPr>
        <w:adjustRightInd w:val="0"/>
        <w:snapToGrid w:val="0"/>
        <w:spacing w:line="288" w:lineRule="auto"/>
        <w:rPr>
          <w:b/>
          <w:color w:val="auto"/>
          <w:sz w:val="21"/>
          <w:szCs w:val="21"/>
          <w:highlight w:val="none"/>
        </w:rPr>
      </w:pPr>
      <w:r>
        <w:rPr>
          <w:rFonts w:hint="eastAsia"/>
          <w:b/>
          <w:color w:val="auto"/>
          <w:sz w:val="21"/>
          <w:szCs w:val="21"/>
          <w:highlight w:val="none"/>
          <w:lang w:val="en-US" w:eastAsia="zh-CN"/>
        </w:rPr>
        <w:t>四</w:t>
      </w:r>
      <w:r>
        <w:rPr>
          <w:rFonts w:hint="eastAsia"/>
          <w:b/>
          <w:color w:val="auto"/>
          <w:sz w:val="21"/>
          <w:szCs w:val="21"/>
          <w:highlight w:val="none"/>
        </w:rPr>
        <w:t>、其他补充事宜</w:t>
      </w:r>
      <w:bookmarkEnd w:id="15"/>
      <w:bookmarkEnd w:id="16"/>
    </w:p>
    <w:p w14:paraId="6436FD3D">
      <w:pPr>
        <w:adjustRightInd w:val="0"/>
        <w:snapToGrid w:val="0"/>
        <w:spacing w:line="288" w:lineRule="auto"/>
        <w:ind w:firstLine="420" w:firstLineChars="200"/>
        <w:rPr>
          <w:bCs/>
          <w:color w:val="auto"/>
          <w:sz w:val="21"/>
          <w:szCs w:val="21"/>
          <w:highlight w:val="none"/>
        </w:rPr>
      </w:pPr>
      <w:bookmarkStart w:id="17" w:name="_Hlk92271072"/>
      <w:bookmarkStart w:id="18" w:name="_Toc35393627"/>
      <w:bookmarkStart w:id="19" w:name="_Toc28359008"/>
      <w:bookmarkStart w:id="20" w:name="_Toc35393796"/>
      <w:bookmarkStart w:id="21" w:name="_Toc28359085"/>
      <w:r>
        <w:rPr>
          <w:rFonts w:cs="Times New Roman"/>
          <w:color w:val="auto"/>
          <w:sz w:val="21"/>
          <w:szCs w:val="21"/>
          <w:highlight w:val="none"/>
        </w:rPr>
        <w:t>单位负责人为同一人或者存在直接控股、管理关系的不同供应商，不得参加同一合同项下的采购活动；为采购项目提供整体设计、规范编制或者项目管理、监理、检测等服务后不得再参加该采购项目的其他采购活动。</w:t>
      </w:r>
      <w:bookmarkEnd w:id="17"/>
    </w:p>
    <w:p w14:paraId="30E20DD3">
      <w:pPr>
        <w:adjustRightInd w:val="0"/>
        <w:snapToGrid w:val="0"/>
        <w:spacing w:line="288" w:lineRule="auto"/>
        <w:rPr>
          <w:rFonts w:hint="default" w:eastAsia="宋体"/>
          <w:b/>
          <w:color w:val="auto"/>
          <w:sz w:val="21"/>
          <w:szCs w:val="21"/>
          <w:highlight w:val="none"/>
          <w:lang w:val="en-US" w:eastAsia="zh-CN"/>
        </w:rPr>
      </w:pPr>
      <w:r>
        <w:rPr>
          <w:rFonts w:hint="eastAsia"/>
          <w:b/>
          <w:color w:val="auto"/>
          <w:sz w:val="21"/>
          <w:szCs w:val="21"/>
          <w:highlight w:val="none"/>
          <w:lang w:val="en-US" w:eastAsia="zh-CN"/>
        </w:rPr>
        <w:t>五</w:t>
      </w:r>
      <w:r>
        <w:rPr>
          <w:rFonts w:hint="eastAsia"/>
          <w:b/>
          <w:color w:val="auto"/>
          <w:sz w:val="21"/>
          <w:szCs w:val="21"/>
          <w:highlight w:val="none"/>
        </w:rPr>
        <w:t>、询问、质疑联系</w:t>
      </w:r>
      <w:bookmarkEnd w:id="18"/>
      <w:bookmarkEnd w:id="19"/>
      <w:bookmarkEnd w:id="20"/>
      <w:bookmarkEnd w:id="21"/>
      <w:r>
        <w:rPr>
          <w:rFonts w:hint="eastAsia"/>
          <w:b/>
          <w:color w:val="auto"/>
          <w:sz w:val="21"/>
          <w:szCs w:val="21"/>
          <w:highlight w:val="none"/>
          <w:lang w:val="en-US" w:eastAsia="zh-CN"/>
        </w:rPr>
        <w:t>方式</w:t>
      </w:r>
    </w:p>
    <w:p w14:paraId="1D24B021">
      <w:pPr>
        <w:adjustRightInd w:val="0"/>
        <w:snapToGrid w:val="0"/>
        <w:spacing w:line="288" w:lineRule="auto"/>
        <w:ind w:firstLine="424" w:firstLineChars="202"/>
        <w:rPr>
          <w:color w:val="auto"/>
          <w:sz w:val="21"/>
          <w:szCs w:val="21"/>
          <w:highlight w:val="none"/>
        </w:rPr>
      </w:pPr>
      <w:r>
        <w:rPr>
          <w:rFonts w:hint="eastAsia"/>
          <w:color w:val="auto"/>
          <w:sz w:val="21"/>
          <w:szCs w:val="21"/>
          <w:highlight w:val="none"/>
        </w:rPr>
        <w:t>名称：浙江经济职业技术学院</w:t>
      </w:r>
    </w:p>
    <w:p w14:paraId="6E2D29D0">
      <w:pPr>
        <w:adjustRightInd w:val="0"/>
        <w:snapToGrid w:val="0"/>
        <w:spacing w:line="288" w:lineRule="auto"/>
        <w:ind w:firstLine="424" w:firstLineChars="202"/>
        <w:rPr>
          <w:color w:val="auto"/>
          <w:sz w:val="21"/>
          <w:szCs w:val="21"/>
          <w:highlight w:val="none"/>
        </w:rPr>
      </w:pPr>
      <w:r>
        <w:rPr>
          <w:rFonts w:hint="eastAsia"/>
          <w:color w:val="auto"/>
          <w:sz w:val="21"/>
          <w:szCs w:val="21"/>
          <w:highlight w:val="none"/>
        </w:rPr>
        <w:t>地址：杭州市钱塘区白杨街道学正街66号</w:t>
      </w:r>
    </w:p>
    <w:p w14:paraId="2D523C72">
      <w:pPr>
        <w:adjustRightInd w:val="0"/>
        <w:snapToGrid w:val="0"/>
        <w:spacing w:line="288" w:lineRule="auto"/>
        <w:ind w:firstLine="424" w:firstLineChars="202"/>
        <w:rPr>
          <w:color w:val="auto"/>
          <w:sz w:val="21"/>
          <w:szCs w:val="21"/>
          <w:highlight w:val="none"/>
        </w:rPr>
      </w:pPr>
      <w:r>
        <w:rPr>
          <w:rFonts w:hint="eastAsia"/>
          <w:color w:val="auto"/>
          <w:sz w:val="21"/>
          <w:szCs w:val="21"/>
          <w:highlight w:val="none"/>
        </w:rPr>
        <w:t>项目联系人（询问）：蔡老师</w:t>
      </w:r>
    </w:p>
    <w:p w14:paraId="5FAB98C0">
      <w:pPr>
        <w:adjustRightInd w:val="0"/>
        <w:snapToGrid w:val="0"/>
        <w:spacing w:line="288" w:lineRule="auto"/>
        <w:ind w:firstLine="424" w:firstLineChars="202"/>
        <w:rPr>
          <w:color w:val="auto"/>
          <w:sz w:val="21"/>
          <w:szCs w:val="21"/>
          <w:highlight w:val="none"/>
        </w:rPr>
      </w:pPr>
      <w:r>
        <w:rPr>
          <w:rFonts w:hint="eastAsia"/>
          <w:color w:val="auto"/>
          <w:sz w:val="21"/>
          <w:szCs w:val="21"/>
          <w:highlight w:val="none"/>
        </w:rPr>
        <w:t>项目联系方式（询问）：0571-86928290</w:t>
      </w:r>
    </w:p>
    <w:p w14:paraId="6F6D0EA2">
      <w:pPr>
        <w:adjustRightInd w:val="0"/>
        <w:snapToGrid w:val="0"/>
        <w:spacing w:line="288" w:lineRule="auto"/>
        <w:ind w:firstLine="424" w:firstLineChars="202"/>
        <w:rPr>
          <w:color w:val="auto"/>
          <w:sz w:val="21"/>
          <w:szCs w:val="21"/>
          <w:highlight w:val="none"/>
        </w:rPr>
      </w:pPr>
      <w:r>
        <w:rPr>
          <w:rFonts w:hint="eastAsia"/>
          <w:color w:val="auto"/>
          <w:sz w:val="21"/>
          <w:szCs w:val="21"/>
          <w:highlight w:val="none"/>
        </w:rPr>
        <w:t>质疑联系人：</w:t>
      </w:r>
      <w:r>
        <w:rPr>
          <w:rFonts w:hint="eastAsia"/>
          <w:color w:val="auto"/>
          <w:sz w:val="21"/>
          <w:szCs w:val="21"/>
          <w:highlight w:val="none"/>
          <w:lang w:val="en-US" w:eastAsia="zh-CN"/>
        </w:rPr>
        <w:t>倪</w:t>
      </w:r>
      <w:r>
        <w:rPr>
          <w:rFonts w:hint="eastAsia"/>
          <w:color w:val="auto"/>
          <w:sz w:val="21"/>
          <w:szCs w:val="21"/>
          <w:highlight w:val="none"/>
        </w:rPr>
        <w:t>老师</w:t>
      </w:r>
    </w:p>
    <w:p w14:paraId="3C033216">
      <w:pPr>
        <w:adjustRightInd w:val="0"/>
        <w:snapToGrid w:val="0"/>
        <w:spacing w:line="288" w:lineRule="auto"/>
        <w:ind w:firstLine="424" w:firstLineChars="202"/>
        <w:rPr>
          <w:rFonts w:hint="default" w:eastAsia="宋体"/>
          <w:color w:val="auto"/>
          <w:sz w:val="21"/>
          <w:szCs w:val="21"/>
          <w:highlight w:val="none"/>
          <w:lang w:val="en-US" w:eastAsia="zh-CN"/>
        </w:rPr>
      </w:pPr>
      <w:r>
        <w:rPr>
          <w:rFonts w:hint="eastAsia"/>
          <w:color w:val="auto"/>
          <w:sz w:val="21"/>
          <w:szCs w:val="21"/>
          <w:highlight w:val="none"/>
        </w:rPr>
        <w:t>质疑联系方式：0571-8692</w:t>
      </w:r>
      <w:r>
        <w:rPr>
          <w:rFonts w:hint="eastAsia"/>
          <w:color w:val="auto"/>
          <w:sz w:val="21"/>
          <w:szCs w:val="21"/>
          <w:highlight w:val="none"/>
          <w:lang w:val="en-US" w:eastAsia="zh-CN"/>
        </w:rPr>
        <w:t>3477</w:t>
      </w:r>
    </w:p>
    <w:p w14:paraId="49B2C8A5">
      <w:pPr>
        <w:adjustRightInd w:val="0"/>
        <w:snapToGrid w:val="0"/>
        <w:spacing w:line="288" w:lineRule="auto"/>
        <w:ind w:firstLine="424" w:firstLineChars="202"/>
        <w:rPr>
          <w:color w:val="auto"/>
          <w:sz w:val="21"/>
          <w:szCs w:val="21"/>
          <w:highlight w:val="none"/>
        </w:rPr>
      </w:pPr>
    </w:p>
    <w:p w14:paraId="0EB3B591">
      <w:pPr>
        <w:adjustRightInd w:val="0"/>
        <w:snapToGrid w:val="0"/>
        <w:spacing w:line="288" w:lineRule="auto"/>
        <w:ind w:firstLine="424" w:firstLineChars="202"/>
        <w:rPr>
          <w:rFonts w:cs="Times New Roman"/>
          <w:color w:val="auto"/>
          <w:sz w:val="21"/>
          <w:szCs w:val="21"/>
          <w:highlight w:val="none"/>
        </w:rPr>
      </w:pPr>
    </w:p>
    <w:p w14:paraId="0FB512DA">
      <w:pPr>
        <w:adjustRightInd w:val="0"/>
        <w:snapToGrid w:val="0"/>
        <w:spacing w:line="288" w:lineRule="auto"/>
        <w:jc w:val="center"/>
        <w:rPr>
          <w:b/>
          <w:bCs/>
          <w:color w:val="auto"/>
          <w:sz w:val="32"/>
          <w:szCs w:val="32"/>
          <w:highlight w:val="none"/>
        </w:rPr>
      </w:pPr>
      <w:r>
        <w:rPr>
          <w:rFonts w:hint="eastAsia"/>
          <w:b/>
          <w:bCs/>
          <w:color w:val="auto"/>
          <w:sz w:val="32"/>
          <w:szCs w:val="32"/>
          <w:highlight w:val="none"/>
        </w:rPr>
        <w:t xml:space="preserve">第二章  </w:t>
      </w:r>
      <w:r>
        <w:rPr>
          <w:rFonts w:hint="eastAsia"/>
          <w:b/>
          <w:bCs/>
          <w:color w:val="auto"/>
          <w:sz w:val="32"/>
          <w:szCs w:val="32"/>
          <w:highlight w:val="none"/>
          <w:lang w:val="en-US" w:eastAsia="zh-CN"/>
        </w:rPr>
        <w:t>项目</w:t>
      </w:r>
      <w:r>
        <w:rPr>
          <w:rFonts w:hint="eastAsia"/>
          <w:b/>
          <w:bCs/>
          <w:color w:val="auto"/>
          <w:sz w:val="32"/>
          <w:szCs w:val="32"/>
          <w:highlight w:val="none"/>
        </w:rPr>
        <w:t>需求</w:t>
      </w:r>
    </w:p>
    <w:p w14:paraId="41821904">
      <w:pPr>
        <w:adjustRightInd w:val="0"/>
        <w:snapToGrid w:val="0"/>
        <w:spacing w:line="288" w:lineRule="auto"/>
        <w:jc w:val="left"/>
        <w:outlineLvl w:val="1"/>
        <w:rPr>
          <w:b/>
          <w:bCs/>
          <w:color w:val="auto"/>
          <w:sz w:val="21"/>
          <w:szCs w:val="21"/>
          <w:highlight w:val="none"/>
        </w:rPr>
      </w:pPr>
      <w:r>
        <w:rPr>
          <w:rFonts w:hint="eastAsia"/>
          <w:b/>
          <w:bCs/>
          <w:color w:val="auto"/>
          <w:sz w:val="21"/>
          <w:szCs w:val="21"/>
          <w:highlight w:val="none"/>
        </w:rPr>
        <w:t>一、为落实政府采购政策需满足的要求：</w:t>
      </w:r>
    </w:p>
    <w:tbl>
      <w:tblPr>
        <w:tblStyle w:val="13"/>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2EEF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01A2D98">
            <w:pPr>
              <w:adjustRightInd w:val="0"/>
              <w:snapToGrid w:val="0"/>
              <w:spacing w:line="288" w:lineRule="auto"/>
              <w:jc w:val="left"/>
              <w:rPr>
                <w:b/>
                <w:bCs/>
                <w:color w:val="auto"/>
                <w:sz w:val="21"/>
                <w:szCs w:val="21"/>
                <w:highlight w:val="none"/>
              </w:rPr>
            </w:pPr>
            <w:bookmarkStart w:id="22" w:name="_Hlk45005599"/>
            <w:r>
              <w:rPr>
                <w:rFonts w:hint="eastAsia"/>
                <w:b/>
                <w:bCs/>
                <w:color w:val="auto"/>
                <w:sz w:val="21"/>
                <w:szCs w:val="21"/>
                <w:highlight w:val="none"/>
              </w:rPr>
              <w:t>序号</w:t>
            </w:r>
          </w:p>
        </w:tc>
        <w:tc>
          <w:tcPr>
            <w:tcW w:w="3256" w:type="dxa"/>
            <w:vAlign w:val="center"/>
          </w:tcPr>
          <w:p w14:paraId="42E106D5">
            <w:pPr>
              <w:adjustRightInd w:val="0"/>
              <w:snapToGrid w:val="0"/>
              <w:spacing w:line="288" w:lineRule="auto"/>
              <w:jc w:val="left"/>
              <w:rPr>
                <w:b/>
                <w:bCs/>
                <w:color w:val="auto"/>
                <w:sz w:val="21"/>
                <w:szCs w:val="21"/>
                <w:highlight w:val="none"/>
              </w:rPr>
            </w:pPr>
            <w:r>
              <w:rPr>
                <w:rFonts w:hint="eastAsia"/>
                <w:b/>
                <w:bCs/>
                <w:color w:val="auto"/>
                <w:sz w:val="21"/>
                <w:szCs w:val="21"/>
                <w:highlight w:val="none"/>
              </w:rPr>
              <w:t>政策名称</w:t>
            </w:r>
          </w:p>
        </w:tc>
        <w:tc>
          <w:tcPr>
            <w:tcW w:w="5529" w:type="dxa"/>
            <w:vAlign w:val="center"/>
          </w:tcPr>
          <w:p w14:paraId="03790114">
            <w:pPr>
              <w:adjustRightInd w:val="0"/>
              <w:snapToGrid w:val="0"/>
              <w:spacing w:line="288" w:lineRule="auto"/>
              <w:jc w:val="left"/>
              <w:rPr>
                <w:b/>
                <w:bCs/>
                <w:color w:val="auto"/>
                <w:sz w:val="21"/>
                <w:szCs w:val="21"/>
                <w:highlight w:val="none"/>
              </w:rPr>
            </w:pPr>
            <w:r>
              <w:rPr>
                <w:rFonts w:hint="eastAsia"/>
                <w:b/>
                <w:bCs/>
                <w:color w:val="auto"/>
                <w:sz w:val="21"/>
                <w:szCs w:val="21"/>
                <w:highlight w:val="none"/>
              </w:rPr>
              <w:t>内容</w:t>
            </w:r>
          </w:p>
        </w:tc>
      </w:tr>
      <w:tr w14:paraId="1B30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4210821B">
            <w:pPr>
              <w:adjustRightInd w:val="0"/>
              <w:snapToGrid w:val="0"/>
              <w:spacing w:line="288" w:lineRule="auto"/>
              <w:jc w:val="left"/>
              <w:rPr>
                <w:b/>
                <w:bCs/>
                <w:color w:val="auto"/>
                <w:sz w:val="21"/>
                <w:szCs w:val="21"/>
                <w:highlight w:val="none"/>
              </w:rPr>
            </w:pPr>
            <w:r>
              <w:rPr>
                <w:rFonts w:hint="eastAsia"/>
                <w:color w:val="auto"/>
                <w:sz w:val="21"/>
                <w:szCs w:val="21"/>
                <w:highlight w:val="none"/>
              </w:rPr>
              <w:t>1</w:t>
            </w:r>
          </w:p>
        </w:tc>
        <w:tc>
          <w:tcPr>
            <w:tcW w:w="3256" w:type="dxa"/>
            <w:vAlign w:val="center"/>
          </w:tcPr>
          <w:p w14:paraId="7FE19C82">
            <w:pPr>
              <w:adjustRightInd w:val="0"/>
              <w:snapToGrid w:val="0"/>
              <w:spacing w:line="288" w:lineRule="auto"/>
              <w:jc w:val="left"/>
              <w:rPr>
                <w:b/>
                <w:bCs/>
                <w:color w:val="auto"/>
                <w:sz w:val="21"/>
                <w:szCs w:val="21"/>
                <w:highlight w:val="none"/>
              </w:rPr>
            </w:pPr>
            <w:r>
              <w:rPr>
                <w:rFonts w:hint="eastAsia"/>
                <w:color w:val="auto"/>
                <w:sz w:val="21"/>
                <w:szCs w:val="21"/>
                <w:highlight w:val="none"/>
              </w:rPr>
              <w:t>政府采购进口产品</w:t>
            </w:r>
          </w:p>
        </w:tc>
        <w:tc>
          <w:tcPr>
            <w:tcW w:w="5529" w:type="dxa"/>
            <w:vAlign w:val="center"/>
          </w:tcPr>
          <w:p w14:paraId="77DFABBD">
            <w:pPr>
              <w:adjustRightInd w:val="0"/>
              <w:snapToGrid w:val="0"/>
              <w:spacing w:line="288" w:lineRule="auto"/>
              <w:jc w:val="left"/>
              <w:rPr>
                <w:b/>
                <w:bCs/>
                <w:color w:val="auto"/>
                <w:sz w:val="21"/>
                <w:szCs w:val="21"/>
                <w:highlight w:val="none"/>
              </w:rPr>
            </w:pPr>
            <w:r>
              <w:rPr>
                <w:rFonts w:hint="eastAsia"/>
                <w:color w:val="auto"/>
                <w:sz w:val="21"/>
                <w:szCs w:val="21"/>
                <w:highlight w:val="none"/>
              </w:rPr>
              <w:t>不允许采购进口产品</w:t>
            </w:r>
          </w:p>
        </w:tc>
      </w:tr>
      <w:tr w14:paraId="577C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44CEE4E">
            <w:pPr>
              <w:adjustRightInd w:val="0"/>
              <w:snapToGrid w:val="0"/>
              <w:spacing w:line="288" w:lineRule="auto"/>
              <w:jc w:val="left"/>
              <w:rPr>
                <w:b/>
                <w:bCs/>
                <w:color w:val="auto"/>
                <w:sz w:val="21"/>
                <w:szCs w:val="21"/>
                <w:highlight w:val="none"/>
              </w:rPr>
            </w:pPr>
            <w:r>
              <w:rPr>
                <w:rFonts w:hint="eastAsia"/>
                <w:color w:val="auto"/>
                <w:sz w:val="21"/>
                <w:szCs w:val="21"/>
                <w:highlight w:val="none"/>
              </w:rPr>
              <w:t>2</w:t>
            </w:r>
          </w:p>
        </w:tc>
        <w:tc>
          <w:tcPr>
            <w:tcW w:w="3256" w:type="dxa"/>
            <w:vAlign w:val="center"/>
          </w:tcPr>
          <w:p w14:paraId="405A36C7">
            <w:pPr>
              <w:adjustRightInd w:val="0"/>
              <w:snapToGrid w:val="0"/>
              <w:spacing w:line="288" w:lineRule="auto"/>
              <w:jc w:val="left"/>
              <w:rPr>
                <w:b/>
                <w:bCs/>
                <w:color w:val="auto"/>
                <w:sz w:val="21"/>
                <w:szCs w:val="21"/>
                <w:highlight w:val="none"/>
              </w:rPr>
            </w:pPr>
            <w:r>
              <w:rPr>
                <w:rFonts w:hint="eastAsia"/>
                <w:color w:val="auto"/>
                <w:sz w:val="21"/>
                <w:szCs w:val="21"/>
                <w:highlight w:val="none"/>
              </w:rPr>
              <w:t>政府强制采购节能产品</w:t>
            </w:r>
          </w:p>
        </w:tc>
        <w:tc>
          <w:tcPr>
            <w:tcW w:w="5529" w:type="dxa"/>
            <w:vAlign w:val="center"/>
          </w:tcPr>
          <w:p w14:paraId="327DC957">
            <w:pPr>
              <w:adjustRightInd w:val="0"/>
              <w:snapToGrid w:val="0"/>
              <w:spacing w:line="288" w:lineRule="auto"/>
              <w:jc w:val="left"/>
              <w:rPr>
                <w:b/>
                <w:bCs/>
                <w:color w:val="auto"/>
                <w:sz w:val="21"/>
                <w:szCs w:val="21"/>
                <w:highlight w:val="none"/>
              </w:rPr>
            </w:pPr>
            <w:r>
              <w:rPr>
                <w:rFonts w:hint="eastAsia"/>
                <w:color w:val="auto"/>
                <w:sz w:val="21"/>
                <w:szCs w:val="21"/>
                <w:highlight w:val="none"/>
              </w:rPr>
              <w:t>不适用</w:t>
            </w:r>
          </w:p>
        </w:tc>
      </w:tr>
      <w:bookmarkEnd w:id="22"/>
    </w:tbl>
    <w:p w14:paraId="1455B4C6">
      <w:pPr>
        <w:adjustRightInd w:val="0"/>
        <w:snapToGrid w:val="0"/>
        <w:spacing w:line="288" w:lineRule="auto"/>
        <w:jc w:val="left"/>
        <w:rPr>
          <w:color w:val="auto"/>
          <w:sz w:val="21"/>
          <w:szCs w:val="21"/>
          <w:highlight w:val="none"/>
        </w:rPr>
      </w:pPr>
    </w:p>
    <w:p w14:paraId="1AD172A7">
      <w:pPr>
        <w:adjustRightInd w:val="0"/>
        <w:snapToGrid w:val="0"/>
        <w:spacing w:line="288" w:lineRule="auto"/>
        <w:outlineLvl w:val="1"/>
        <w:rPr>
          <w:b/>
          <w:bCs/>
          <w:color w:val="auto"/>
          <w:sz w:val="21"/>
          <w:szCs w:val="21"/>
          <w:highlight w:val="none"/>
        </w:rPr>
      </w:pPr>
      <w:r>
        <w:rPr>
          <w:rFonts w:hint="eastAsia"/>
          <w:b/>
          <w:bCs/>
          <w:color w:val="auto"/>
          <w:sz w:val="21"/>
          <w:szCs w:val="21"/>
          <w:highlight w:val="none"/>
        </w:rPr>
        <w:t>二、采购资金的支付方式、时间、条件：</w:t>
      </w:r>
    </w:p>
    <w:tbl>
      <w:tblPr>
        <w:tblStyle w:val="13"/>
        <w:tblW w:w="949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00DCE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3E541BBB">
            <w:pPr>
              <w:adjustRightInd w:val="0"/>
              <w:snapToGrid w:val="0"/>
              <w:spacing w:line="288" w:lineRule="auto"/>
              <w:jc w:val="center"/>
              <w:rPr>
                <w:rFonts w:cs="Times New Roman"/>
                <w:b/>
                <w:color w:val="auto"/>
                <w:spacing w:val="-6"/>
                <w:sz w:val="21"/>
                <w:szCs w:val="21"/>
                <w:highlight w:val="none"/>
              </w:rPr>
            </w:pPr>
            <w:bookmarkStart w:id="23" w:name="_Hlk45005608"/>
            <w:r>
              <w:rPr>
                <w:rFonts w:hint="eastAsia" w:cs="Times New Roman"/>
                <w:b/>
                <w:color w:val="auto"/>
                <w:spacing w:val="-6"/>
                <w:sz w:val="21"/>
                <w:szCs w:val="21"/>
                <w:highlight w:val="none"/>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1C5CA959">
            <w:pPr>
              <w:autoSpaceDE w:val="0"/>
              <w:autoSpaceDN w:val="0"/>
              <w:adjustRightInd w:val="0"/>
              <w:snapToGrid w:val="0"/>
              <w:spacing w:line="288" w:lineRule="auto"/>
              <w:ind w:firstLine="396" w:firstLineChars="200"/>
              <w:jc w:val="left"/>
              <w:rPr>
                <w:color w:val="auto"/>
                <w:spacing w:val="-6"/>
                <w:kern w:val="0"/>
                <w:sz w:val="21"/>
                <w:szCs w:val="21"/>
                <w:highlight w:val="none"/>
              </w:rPr>
            </w:pPr>
            <w:r>
              <w:rPr>
                <w:rFonts w:hint="eastAsia"/>
                <w:color w:val="auto"/>
                <w:spacing w:val="-6"/>
                <w:kern w:val="0"/>
                <w:sz w:val="21"/>
                <w:szCs w:val="21"/>
                <w:highlight w:val="none"/>
              </w:rPr>
              <w:t>项目完成后，经采购人验收合格后，采购人自收到发票后7个工作日内，支付合同</w:t>
            </w:r>
            <w:r>
              <w:rPr>
                <w:rFonts w:hint="eastAsia"/>
                <w:color w:val="auto"/>
                <w:spacing w:val="-6"/>
                <w:kern w:val="0"/>
                <w:sz w:val="21"/>
                <w:szCs w:val="21"/>
                <w:highlight w:val="none"/>
                <w:lang w:val="en-US" w:eastAsia="zh-CN"/>
              </w:rPr>
              <w:t>全部</w:t>
            </w:r>
            <w:r>
              <w:rPr>
                <w:rFonts w:hint="eastAsia"/>
                <w:color w:val="auto"/>
                <w:spacing w:val="-6"/>
                <w:kern w:val="0"/>
                <w:sz w:val="21"/>
                <w:szCs w:val="21"/>
                <w:highlight w:val="none"/>
              </w:rPr>
              <w:t>金额。</w:t>
            </w:r>
          </w:p>
        </w:tc>
      </w:tr>
      <w:bookmarkEnd w:id="23"/>
    </w:tbl>
    <w:p w14:paraId="4AA62AFE">
      <w:pPr>
        <w:adjustRightInd w:val="0"/>
        <w:snapToGrid w:val="0"/>
        <w:spacing w:line="288" w:lineRule="auto"/>
        <w:rPr>
          <w:color w:val="auto"/>
          <w:sz w:val="21"/>
          <w:szCs w:val="21"/>
          <w:highlight w:val="none"/>
        </w:rPr>
      </w:pPr>
    </w:p>
    <w:p w14:paraId="0C69BA3F">
      <w:pPr>
        <w:adjustRightInd w:val="0"/>
        <w:snapToGrid w:val="0"/>
        <w:spacing w:line="288" w:lineRule="auto"/>
        <w:outlineLvl w:val="1"/>
        <w:rPr>
          <w:b/>
          <w:bCs/>
          <w:color w:val="auto"/>
          <w:sz w:val="21"/>
          <w:szCs w:val="21"/>
          <w:highlight w:val="none"/>
        </w:rPr>
      </w:pPr>
      <w:r>
        <w:rPr>
          <w:rFonts w:hint="eastAsia"/>
          <w:b/>
          <w:bCs/>
          <w:color w:val="auto"/>
          <w:sz w:val="21"/>
          <w:szCs w:val="21"/>
          <w:highlight w:val="none"/>
        </w:rPr>
        <w:t>三、服务要求（技术要求里另有注明的以技术要求为准）：</w:t>
      </w:r>
    </w:p>
    <w:tbl>
      <w:tblPr>
        <w:tblStyle w:val="13"/>
        <w:tblW w:w="94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5"/>
      </w:tblGrid>
      <w:tr w14:paraId="18830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01C027DE">
            <w:pPr>
              <w:adjustRightInd w:val="0"/>
              <w:snapToGrid w:val="0"/>
              <w:spacing w:line="288" w:lineRule="auto"/>
              <w:jc w:val="center"/>
              <w:rPr>
                <w:b/>
                <w:bCs/>
                <w:color w:val="auto"/>
                <w:sz w:val="21"/>
                <w:szCs w:val="21"/>
                <w:highlight w:val="none"/>
              </w:rPr>
            </w:pPr>
            <w:bookmarkStart w:id="24" w:name="_Hlk97039632"/>
            <w:r>
              <w:rPr>
                <w:rFonts w:hint="eastAsia"/>
                <w:b/>
                <w:bCs/>
                <w:color w:val="auto"/>
                <w:sz w:val="21"/>
                <w:szCs w:val="21"/>
                <w:highlight w:val="none"/>
              </w:rPr>
              <w:t>交付时间</w:t>
            </w:r>
          </w:p>
        </w:tc>
        <w:tc>
          <w:tcPr>
            <w:tcW w:w="7655" w:type="dxa"/>
            <w:tcBorders>
              <w:top w:val="single" w:color="auto" w:sz="4" w:space="0"/>
              <w:left w:val="single" w:color="auto" w:sz="4" w:space="0"/>
              <w:bottom w:val="single" w:color="auto" w:sz="4" w:space="0"/>
              <w:right w:val="single" w:color="auto" w:sz="4" w:space="0"/>
            </w:tcBorders>
            <w:vAlign w:val="center"/>
          </w:tcPr>
          <w:p w14:paraId="4E9FF892">
            <w:pPr>
              <w:adjustRightInd w:val="0"/>
              <w:snapToGrid w:val="0"/>
              <w:spacing w:line="288" w:lineRule="auto"/>
              <w:rPr>
                <w:color w:val="auto"/>
                <w:sz w:val="21"/>
                <w:szCs w:val="21"/>
                <w:highlight w:val="none"/>
              </w:rPr>
            </w:pPr>
            <w:r>
              <w:rPr>
                <w:rFonts w:hint="eastAsia"/>
                <w:color w:val="auto"/>
                <w:sz w:val="21"/>
                <w:szCs w:val="21"/>
                <w:highlight w:val="none"/>
              </w:rPr>
              <w:t>合同签订后</w:t>
            </w:r>
            <w:r>
              <w:rPr>
                <w:rFonts w:hint="eastAsia"/>
                <w:color w:val="auto"/>
                <w:sz w:val="21"/>
                <w:szCs w:val="21"/>
                <w:highlight w:val="none"/>
                <w:lang w:val="en-US" w:eastAsia="zh-CN"/>
              </w:rPr>
              <w:t>30</w:t>
            </w:r>
            <w:r>
              <w:rPr>
                <w:rFonts w:hint="eastAsia"/>
                <w:color w:val="auto"/>
                <w:sz w:val="21"/>
                <w:szCs w:val="21"/>
                <w:highlight w:val="none"/>
              </w:rPr>
              <w:t>个工作日内完成交付</w:t>
            </w:r>
          </w:p>
        </w:tc>
      </w:tr>
      <w:tr w14:paraId="2CC2D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46730F41">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交付地点</w:t>
            </w:r>
          </w:p>
        </w:tc>
        <w:tc>
          <w:tcPr>
            <w:tcW w:w="7655" w:type="dxa"/>
            <w:tcBorders>
              <w:top w:val="single" w:color="auto" w:sz="4" w:space="0"/>
              <w:left w:val="single" w:color="auto" w:sz="4" w:space="0"/>
              <w:bottom w:val="single" w:color="auto" w:sz="4" w:space="0"/>
              <w:right w:val="single" w:color="auto" w:sz="4" w:space="0"/>
            </w:tcBorders>
            <w:vAlign w:val="center"/>
          </w:tcPr>
          <w:p w14:paraId="0B1C1096">
            <w:pPr>
              <w:adjustRightInd w:val="0"/>
              <w:snapToGrid w:val="0"/>
              <w:spacing w:line="288" w:lineRule="auto"/>
              <w:rPr>
                <w:color w:val="auto"/>
                <w:sz w:val="21"/>
                <w:szCs w:val="21"/>
                <w:highlight w:val="none"/>
              </w:rPr>
            </w:pPr>
            <w:r>
              <w:rPr>
                <w:rFonts w:hint="eastAsia"/>
                <w:color w:val="auto"/>
                <w:sz w:val="21"/>
                <w:szCs w:val="21"/>
                <w:highlight w:val="none"/>
              </w:rPr>
              <w:t>采购人指定地点</w:t>
            </w:r>
          </w:p>
        </w:tc>
      </w:tr>
      <w:bookmarkEnd w:id="24"/>
      <w:tr w14:paraId="46BDF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40914C12">
            <w:pPr>
              <w:adjustRightInd w:val="0"/>
              <w:snapToGrid w:val="0"/>
              <w:spacing w:line="288" w:lineRule="auto"/>
              <w:jc w:val="center"/>
              <w:rPr>
                <w:b/>
                <w:bCs/>
                <w:color w:val="auto"/>
                <w:sz w:val="21"/>
                <w:szCs w:val="21"/>
                <w:highlight w:val="none"/>
              </w:rPr>
            </w:pPr>
            <w:r>
              <w:rPr>
                <w:rFonts w:hint="eastAsia"/>
                <w:color w:val="auto"/>
                <w:sz w:val="21"/>
                <w:szCs w:val="21"/>
                <w:highlight w:val="none"/>
              </w:rPr>
              <w:t>▲</w:t>
            </w:r>
            <w:r>
              <w:rPr>
                <w:rFonts w:hint="eastAsia"/>
                <w:b/>
                <w:bCs/>
                <w:color w:val="auto"/>
                <w:sz w:val="21"/>
                <w:szCs w:val="21"/>
                <w:highlight w:val="none"/>
              </w:rPr>
              <w:t>质保期</w:t>
            </w:r>
          </w:p>
        </w:tc>
        <w:tc>
          <w:tcPr>
            <w:tcW w:w="7655" w:type="dxa"/>
            <w:tcBorders>
              <w:top w:val="single" w:color="auto" w:sz="4" w:space="0"/>
              <w:left w:val="single" w:color="auto" w:sz="4" w:space="0"/>
              <w:bottom w:val="single" w:color="auto" w:sz="4" w:space="0"/>
              <w:right w:val="single" w:color="auto" w:sz="4" w:space="0"/>
            </w:tcBorders>
            <w:vAlign w:val="center"/>
          </w:tcPr>
          <w:p w14:paraId="58123E74">
            <w:pPr>
              <w:adjustRightInd w:val="0"/>
              <w:snapToGrid w:val="0"/>
              <w:spacing w:line="288" w:lineRule="auto"/>
              <w:rPr>
                <w:color w:val="auto"/>
                <w:sz w:val="21"/>
                <w:szCs w:val="21"/>
                <w:highlight w:val="none"/>
              </w:rPr>
            </w:pPr>
            <w:r>
              <w:rPr>
                <w:rFonts w:hint="eastAsia"/>
                <w:color w:val="auto"/>
                <w:sz w:val="21"/>
                <w:szCs w:val="21"/>
                <w:highlight w:val="none"/>
                <w:lang w:val="en-US" w:eastAsia="zh-CN"/>
              </w:rPr>
              <w:t>五</w:t>
            </w:r>
            <w:r>
              <w:rPr>
                <w:rFonts w:hint="eastAsia"/>
                <w:color w:val="auto"/>
                <w:sz w:val="21"/>
                <w:szCs w:val="21"/>
                <w:highlight w:val="none"/>
              </w:rPr>
              <w:t>年，项目验收合格后开始计算</w:t>
            </w:r>
          </w:p>
        </w:tc>
      </w:tr>
      <w:tr w14:paraId="57154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1A9DDEDC">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服务标准、期限、效率</w:t>
            </w:r>
          </w:p>
        </w:tc>
        <w:tc>
          <w:tcPr>
            <w:tcW w:w="7655" w:type="dxa"/>
            <w:tcBorders>
              <w:top w:val="single" w:color="auto" w:sz="4" w:space="0"/>
              <w:left w:val="single" w:color="auto" w:sz="4" w:space="0"/>
              <w:bottom w:val="single" w:color="auto" w:sz="4" w:space="0"/>
              <w:right w:val="single" w:color="auto" w:sz="4" w:space="0"/>
            </w:tcBorders>
            <w:vAlign w:val="center"/>
          </w:tcPr>
          <w:p w14:paraId="1C38A169">
            <w:pPr>
              <w:adjustRightInd w:val="0"/>
              <w:snapToGrid w:val="0"/>
              <w:spacing w:line="288" w:lineRule="auto"/>
              <w:rPr>
                <w:color w:val="auto"/>
                <w:sz w:val="21"/>
                <w:szCs w:val="21"/>
                <w:highlight w:val="none"/>
              </w:rPr>
            </w:pPr>
            <w:r>
              <w:rPr>
                <w:color w:val="auto"/>
                <w:sz w:val="21"/>
                <w:szCs w:val="21"/>
                <w:highlight w:val="none"/>
              </w:rPr>
              <w:t>1</w:t>
            </w:r>
            <w:r>
              <w:rPr>
                <w:rFonts w:hint="eastAsia"/>
                <w:color w:val="auto"/>
                <w:sz w:val="21"/>
                <w:szCs w:val="21"/>
                <w:highlight w:val="none"/>
              </w:rPr>
              <w:t>.在质保期内，供应商应对货物出现的质量及安全问题负责处理解决并承担一切费用。</w:t>
            </w:r>
          </w:p>
          <w:p w14:paraId="1B8C2765">
            <w:pPr>
              <w:adjustRightInd w:val="0"/>
              <w:snapToGrid w:val="0"/>
              <w:spacing w:line="288" w:lineRule="auto"/>
              <w:rPr>
                <w:color w:val="auto"/>
                <w:sz w:val="21"/>
                <w:szCs w:val="21"/>
                <w:highlight w:val="none"/>
              </w:rPr>
            </w:pPr>
            <w:r>
              <w:rPr>
                <w:color w:val="auto"/>
                <w:sz w:val="21"/>
                <w:szCs w:val="21"/>
                <w:highlight w:val="none"/>
              </w:rPr>
              <w:t>2.</w:t>
            </w:r>
            <w:r>
              <w:rPr>
                <w:rFonts w:hint="eastAsia"/>
                <w:color w:val="auto"/>
                <w:sz w:val="21"/>
                <w:szCs w:val="21"/>
                <w:highlight w:val="none"/>
              </w:rPr>
              <w:t>质保期内出现无法排除的故障，供应商需无条件更换同型号产品。</w:t>
            </w:r>
          </w:p>
          <w:p w14:paraId="7FD17F5E">
            <w:pPr>
              <w:adjustRightInd w:val="0"/>
              <w:snapToGrid w:val="0"/>
              <w:spacing w:line="288" w:lineRule="auto"/>
              <w:rPr>
                <w:color w:val="auto"/>
                <w:sz w:val="21"/>
                <w:szCs w:val="21"/>
                <w:highlight w:val="none"/>
              </w:rPr>
            </w:pPr>
            <w:r>
              <w:rPr>
                <w:color w:val="auto"/>
                <w:sz w:val="21"/>
                <w:szCs w:val="21"/>
                <w:highlight w:val="none"/>
              </w:rPr>
              <w:t>3.</w:t>
            </w:r>
            <w:r>
              <w:rPr>
                <w:rFonts w:hint="eastAsia"/>
                <w:color w:val="auto"/>
                <w:sz w:val="21"/>
                <w:szCs w:val="21"/>
                <w:highlight w:val="none"/>
              </w:rPr>
              <w:t>质保期满后，供应商继续为采购人服务，仅收取零配件成本费。</w:t>
            </w:r>
          </w:p>
          <w:p w14:paraId="5C15866C">
            <w:pPr>
              <w:adjustRightInd w:val="0"/>
              <w:snapToGrid w:val="0"/>
              <w:spacing w:line="288" w:lineRule="auto"/>
              <w:rPr>
                <w:color w:val="auto"/>
                <w:sz w:val="21"/>
                <w:szCs w:val="21"/>
                <w:highlight w:val="none"/>
              </w:rPr>
            </w:pPr>
            <w:r>
              <w:rPr>
                <w:color w:val="auto"/>
                <w:sz w:val="21"/>
                <w:szCs w:val="21"/>
                <w:highlight w:val="none"/>
              </w:rPr>
              <w:t>4.</w:t>
            </w:r>
            <w:r>
              <w:rPr>
                <w:rFonts w:hint="eastAsia"/>
                <w:color w:val="auto"/>
                <w:sz w:val="21"/>
                <w:szCs w:val="21"/>
                <w:highlight w:val="none"/>
              </w:rPr>
              <w:t>因人为因素出现的故障不在免费保修范围内。</w:t>
            </w:r>
          </w:p>
          <w:p w14:paraId="76307D72">
            <w:pPr>
              <w:adjustRightInd w:val="0"/>
              <w:snapToGrid w:val="0"/>
              <w:spacing w:line="288" w:lineRule="auto"/>
              <w:rPr>
                <w:color w:val="auto"/>
                <w:sz w:val="21"/>
                <w:szCs w:val="21"/>
                <w:highlight w:val="none"/>
                <w:u w:val="single"/>
              </w:rPr>
            </w:pPr>
            <w:r>
              <w:rPr>
                <w:color w:val="auto"/>
                <w:sz w:val="21"/>
                <w:szCs w:val="21"/>
                <w:highlight w:val="none"/>
              </w:rPr>
              <w:t>5</w:t>
            </w:r>
            <w:r>
              <w:rPr>
                <w:rFonts w:hint="eastAsia"/>
                <w:color w:val="auto"/>
                <w:sz w:val="21"/>
                <w:szCs w:val="21"/>
                <w:highlight w:val="none"/>
              </w:rPr>
              <w:t>.</w:t>
            </w:r>
            <w:r>
              <w:rPr>
                <w:rFonts w:hint="eastAsia"/>
                <w:color w:val="auto"/>
                <w:sz w:val="21"/>
                <w:szCs w:val="21"/>
                <w:highlight w:val="none"/>
                <w:u w:val="single"/>
              </w:rPr>
              <w:t>如在使用过程中发生质量问题，供应商维修响应时间： 2 小时以内；</w:t>
            </w:r>
          </w:p>
          <w:p w14:paraId="1F44638A">
            <w:pPr>
              <w:adjustRightInd w:val="0"/>
              <w:snapToGrid w:val="0"/>
              <w:spacing w:line="288" w:lineRule="auto"/>
              <w:rPr>
                <w:color w:val="auto"/>
                <w:sz w:val="21"/>
                <w:szCs w:val="21"/>
                <w:highlight w:val="none"/>
                <w:u w:val="single"/>
              </w:rPr>
            </w:pPr>
            <w:r>
              <w:rPr>
                <w:rFonts w:hint="eastAsia"/>
                <w:color w:val="auto"/>
                <w:sz w:val="21"/>
                <w:szCs w:val="21"/>
                <w:highlight w:val="none"/>
                <w:u w:val="single"/>
              </w:rPr>
              <w:t>电话技术支持时间： 0.5 小时以内；</w:t>
            </w:r>
          </w:p>
          <w:p w14:paraId="475A6092">
            <w:pPr>
              <w:adjustRightInd w:val="0"/>
              <w:snapToGrid w:val="0"/>
              <w:spacing w:line="288" w:lineRule="auto"/>
              <w:rPr>
                <w:color w:val="auto"/>
                <w:sz w:val="21"/>
                <w:szCs w:val="21"/>
                <w:highlight w:val="none"/>
                <w:u w:val="single"/>
              </w:rPr>
            </w:pPr>
            <w:r>
              <w:rPr>
                <w:rFonts w:hint="eastAsia"/>
                <w:color w:val="auto"/>
                <w:sz w:val="21"/>
                <w:szCs w:val="21"/>
                <w:highlight w:val="none"/>
                <w:u w:val="single"/>
              </w:rPr>
              <w:t>若需上门维修，则在： 4 小时内到达现场并进行维修；</w:t>
            </w:r>
          </w:p>
          <w:p w14:paraId="0ED12D37">
            <w:pPr>
              <w:adjustRightInd w:val="0"/>
              <w:snapToGrid w:val="0"/>
              <w:spacing w:line="288" w:lineRule="auto"/>
              <w:rPr>
                <w:color w:val="auto"/>
                <w:sz w:val="21"/>
                <w:szCs w:val="21"/>
                <w:highlight w:val="none"/>
                <w:u w:val="single"/>
              </w:rPr>
            </w:pPr>
            <w:r>
              <w:rPr>
                <w:rFonts w:hint="eastAsia"/>
                <w:color w:val="auto"/>
                <w:sz w:val="21"/>
                <w:szCs w:val="21"/>
                <w:highlight w:val="none"/>
              </w:rPr>
              <w:t>6.供应商应提供详细的售后服务方案、售后服务承诺、售后服务保障措施。</w:t>
            </w:r>
          </w:p>
        </w:tc>
      </w:tr>
    </w:tbl>
    <w:p w14:paraId="0FCFC4D8">
      <w:pPr>
        <w:adjustRightInd w:val="0"/>
        <w:snapToGrid w:val="0"/>
        <w:spacing w:line="288" w:lineRule="auto"/>
        <w:rPr>
          <w:color w:val="auto"/>
          <w:sz w:val="21"/>
          <w:szCs w:val="21"/>
          <w:highlight w:val="none"/>
        </w:rPr>
      </w:pPr>
    </w:p>
    <w:p w14:paraId="20586D08">
      <w:pPr>
        <w:adjustRightInd w:val="0"/>
        <w:snapToGrid w:val="0"/>
        <w:spacing w:line="288" w:lineRule="auto"/>
        <w:outlineLvl w:val="1"/>
        <w:rPr>
          <w:b/>
          <w:bCs/>
          <w:color w:val="auto"/>
          <w:sz w:val="21"/>
          <w:szCs w:val="21"/>
          <w:highlight w:val="none"/>
        </w:rPr>
      </w:pPr>
      <w:r>
        <w:rPr>
          <w:b/>
          <w:bCs/>
          <w:color w:val="auto"/>
          <w:sz w:val="21"/>
          <w:szCs w:val="21"/>
          <w:highlight w:val="none"/>
        </w:rPr>
        <w:t>四、技术要求</w:t>
      </w:r>
      <w:r>
        <w:rPr>
          <w:rFonts w:hint="eastAsia"/>
          <w:b/>
          <w:bCs/>
          <w:color w:val="auto"/>
          <w:sz w:val="21"/>
          <w:szCs w:val="21"/>
          <w:highlight w:val="none"/>
        </w:rPr>
        <w:t>：</w:t>
      </w:r>
    </w:p>
    <w:p w14:paraId="49DB46B3">
      <w:pPr>
        <w:adjustRightInd w:val="0"/>
        <w:snapToGrid w:val="0"/>
        <w:spacing w:line="288" w:lineRule="auto"/>
        <w:rPr>
          <w:b/>
          <w:bCs/>
          <w:color w:val="auto"/>
          <w:sz w:val="21"/>
          <w:szCs w:val="21"/>
          <w:highlight w:val="none"/>
        </w:rPr>
      </w:pPr>
      <w:r>
        <w:rPr>
          <w:rFonts w:hint="eastAsia"/>
          <w:b/>
          <w:bCs/>
          <w:color w:val="auto"/>
          <w:sz w:val="21"/>
          <w:szCs w:val="21"/>
          <w:highlight w:val="none"/>
        </w:rPr>
        <w:t>1</w:t>
      </w:r>
      <w:r>
        <w:rPr>
          <w:b/>
          <w:bCs/>
          <w:color w:val="auto"/>
          <w:sz w:val="21"/>
          <w:szCs w:val="21"/>
          <w:highlight w:val="none"/>
        </w:rPr>
        <w:t>.</w:t>
      </w:r>
      <w:r>
        <w:rPr>
          <w:rFonts w:hint="eastAsia"/>
          <w:b/>
          <w:bCs/>
          <w:color w:val="auto"/>
          <w:sz w:val="21"/>
          <w:szCs w:val="21"/>
          <w:highlight w:val="none"/>
        </w:rPr>
        <w:t>需执行的国家相关标准、行业标准、地方标准或者其他标准、规范：</w:t>
      </w:r>
      <w:bookmarkStart w:id="25" w:name="_Hlk97039652"/>
      <w:r>
        <w:rPr>
          <w:rFonts w:hint="eastAsia"/>
          <w:color w:val="auto"/>
          <w:sz w:val="21"/>
          <w:szCs w:val="21"/>
          <w:highlight w:val="none"/>
        </w:rPr>
        <w:t>如技术要求中未注明需执行的国家相关标准、行业标准、地方标准或者其他标准、规范的，执行最新标准、规范。</w:t>
      </w:r>
      <w:bookmarkEnd w:id="25"/>
    </w:p>
    <w:p w14:paraId="7DB72D02">
      <w:pPr>
        <w:adjustRightInd w:val="0"/>
        <w:snapToGrid w:val="0"/>
        <w:spacing w:line="288" w:lineRule="auto"/>
        <w:rPr>
          <w:b/>
          <w:bCs/>
          <w:color w:val="auto"/>
          <w:sz w:val="21"/>
          <w:szCs w:val="21"/>
          <w:highlight w:val="none"/>
        </w:rPr>
      </w:pPr>
      <w:r>
        <w:rPr>
          <w:b/>
          <w:bCs/>
          <w:color w:val="auto"/>
          <w:sz w:val="21"/>
          <w:szCs w:val="21"/>
          <w:highlight w:val="none"/>
        </w:rPr>
        <w:t>2</w:t>
      </w:r>
      <w:r>
        <w:rPr>
          <w:rFonts w:hint="eastAsia"/>
          <w:b/>
          <w:bCs/>
          <w:color w:val="auto"/>
          <w:sz w:val="21"/>
          <w:szCs w:val="21"/>
          <w:highlight w:val="none"/>
        </w:rPr>
        <w:t>.需实现的目标：</w:t>
      </w:r>
    </w:p>
    <w:p w14:paraId="12986CB0">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（1）项目概括</w:t>
      </w:r>
    </w:p>
    <w:p w14:paraId="5A5619AF">
      <w:pPr>
        <w:adjustRightInd w:val="0"/>
        <w:snapToGrid w:val="0"/>
        <w:spacing w:line="288"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w:t>
      </w:r>
      <w:r>
        <w:rPr>
          <w:rFonts w:hint="eastAsia"/>
          <w:color w:val="auto"/>
          <w:sz w:val="21"/>
          <w:szCs w:val="21"/>
          <w:highlight w:val="none"/>
        </w:rPr>
        <w:t>项目</w:t>
      </w:r>
      <w:r>
        <w:rPr>
          <w:rFonts w:hint="eastAsia"/>
          <w:color w:val="auto"/>
          <w:sz w:val="21"/>
          <w:szCs w:val="21"/>
          <w:highlight w:val="none"/>
          <w:lang w:val="en-US" w:eastAsia="zh-CN"/>
        </w:rPr>
        <w:t>服务内容包括</w:t>
      </w:r>
      <w:r>
        <w:rPr>
          <w:rFonts w:hint="eastAsia"/>
          <w:color w:val="auto"/>
          <w:sz w:val="21"/>
          <w:szCs w:val="21"/>
          <w:highlight w:val="none"/>
        </w:rPr>
        <w:t>76节</w:t>
      </w:r>
      <w:r>
        <w:rPr>
          <w:rFonts w:hint="eastAsia"/>
          <w:color w:val="auto"/>
          <w:sz w:val="21"/>
          <w:szCs w:val="21"/>
          <w:highlight w:val="none"/>
          <w:lang w:val="en-US" w:eastAsia="zh-CN"/>
        </w:rPr>
        <w:t>UPS</w:t>
      </w:r>
      <w:r>
        <w:rPr>
          <w:rFonts w:hint="eastAsia"/>
          <w:color w:val="auto"/>
          <w:sz w:val="21"/>
          <w:szCs w:val="21"/>
          <w:highlight w:val="none"/>
        </w:rPr>
        <w:t>蓄电池12V100AH维修服务及</w:t>
      </w:r>
      <w:r>
        <w:rPr>
          <w:rFonts w:hint="eastAsia"/>
          <w:color w:val="auto"/>
          <w:sz w:val="21"/>
          <w:szCs w:val="21"/>
          <w:highlight w:val="none"/>
          <w:lang w:val="en-US" w:eastAsia="zh-CN"/>
        </w:rPr>
        <w:t>1</w:t>
      </w:r>
      <w:r>
        <w:rPr>
          <w:rFonts w:hint="eastAsia"/>
          <w:color w:val="auto"/>
          <w:sz w:val="21"/>
          <w:szCs w:val="21"/>
          <w:highlight w:val="none"/>
        </w:rPr>
        <w:t>台伊顿93PR</w:t>
      </w:r>
      <w:r>
        <w:rPr>
          <w:rFonts w:hint="eastAsia"/>
          <w:color w:val="auto"/>
          <w:sz w:val="21"/>
          <w:szCs w:val="21"/>
          <w:highlight w:val="none"/>
          <w:lang w:val="en-US" w:eastAsia="zh-CN"/>
        </w:rPr>
        <w:t xml:space="preserve"> </w:t>
      </w:r>
      <w:r>
        <w:rPr>
          <w:rFonts w:hint="eastAsia"/>
          <w:color w:val="auto"/>
          <w:sz w:val="21"/>
          <w:szCs w:val="21"/>
          <w:highlight w:val="none"/>
        </w:rPr>
        <w:t>50KVA UPS搬迁安装调试服务</w:t>
      </w:r>
      <w:r>
        <w:rPr>
          <w:rFonts w:hint="eastAsia"/>
          <w:color w:val="auto"/>
          <w:sz w:val="21"/>
          <w:szCs w:val="21"/>
          <w:highlight w:val="none"/>
          <w:lang w:eastAsia="zh-CN"/>
        </w:rPr>
        <w:t>，</w:t>
      </w:r>
      <w:r>
        <w:rPr>
          <w:rFonts w:hint="eastAsia"/>
          <w:color w:val="auto"/>
          <w:sz w:val="21"/>
          <w:szCs w:val="21"/>
          <w:highlight w:val="none"/>
          <w:lang w:val="en-US" w:eastAsia="zh-CN"/>
        </w:rPr>
        <w:t>服务内容还包含维修及搬迁所需的所有工程、材料、辅材及该项目涉及的所有费用。具体服务说明如下：</w:t>
      </w:r>
    </w:p>
    <w:p w14:paraId="497B0164">
      <w:pPr>
        <w:adjustRightInd w:val="0"/>
        <w:snapToGrid w:val="0"/>
        <w:spacing w:line="288" w:lineRule="auto"/>
        <w:rPr>
          <w:rFonts w:hint="eastAsia"/>
          <w:color w:val="auto"/>
          <w:sz w:val="21"/>
          <w:szCs w:val="21"/>
          <w:highlight w:val="none"/>
        </w:rPr>
      </w:pPr>
      <w:r>
        <w:rPr>
          <w:rFonts w:hint="eastAsia"/>
          <w:color w:val="auto"/>
          <w:sz w:val="21"/>
          <w:szCs w:val="21"/>
          <w:highlight w:val="none"/>
          <w:lang w:val="en-US" w:eastAsia="zh-CN"/>
        </w:rPr>
        <w:t>1）</w:t>
      </w:r>
      <w:r>
        <w:rPr>
          <w:rFonts w:hint="default"/>
          <w:color w:val="auto"/>
          <w:sz w:val="21"/>
          <w:szCs w:val="21"/>
          <w:highlight w:val="none"/>
          <w:lang w:val="en-US" w:eastAsia="zh-CN"/>
        </w:rPr>
        <w:t>、</w:t>
      </w:r>
      <w:r>
        <w:rPr>
          <w:rFonts w:hint="default"/>
          <w:color w:val="auto"/>
          <w:sz w:val="21"/>
          <w:szCs w:val="21"/>
          <w:highlight w:val="none"/>
        </w:rPr>
        <w:t>蓄电池维修服务</w:t>
      </w:r>
    </w:p>
    <w:p w14:paraId="452BE4F7">
      <w:pPr>
        <w:adjustRightInd w:val="0"/>
        <w:snapToGrid w:val="0"/>
        <w:spacing w:line="288" w:lineRule="auto"/>
        <w:rPr>
          <w:rFonts w:hint="eastAsia"/>
          <w:color w:val="auto"/>
          <w:sz w:val="21"/>
          <w:szCs w:val="21"/>
          <w:highlight w:val="none"/>
          <w:lang w:val="en-US" w:eastAsia="zh-CN"/>
        </w:rPr>
      </w:pPr>
      <w:r>
        <w:rPr>
          <w:rFonts w:hint="eastAsia"/>
          <w:color w:val="auto"/>
          <w:sz w:val="21"/>
          <w:szCs w:val="21"/>
          <w:highlight w:val="none"/>
        </w:rPr>
        <w:t>蓄电池在非人为损坏的情况下</w:t>
      </w:r>
      <w:r>
        <w:rPr>
          <w:rFonts w:hint="default"/>
          <w:color w:val="auto"/>
          <w:sz w:val="21"/>
          <w:szCs w:val="21"/>
          <w:highlight w:val="none"/>
        </w:rPr>
        <w:t>维保五年</w:t>
      </w:r>
      <w:r>
        <w:rPr>
          <w:rFonts w:hint="eastAsia"/>
          <w:color w:val="auto"/>
          <w:sz w:val="21"/>
          <w:szCs w:val="21"/>
          <w:highlight w:val="none"/>
          <w:lang w:eastAsia="zh-CN"/>
        </w:rPr>
        <w:t>。</w:t>
      </w:r>
      <w:r>
        <w:rPr>
          <w:rFonts w:hint="eastAsia"/>
          <w:color w:val="auto"/>
          <w:sz w:val="21"/>
          <w:szCs w:val="21"/>
          <w:highlight w:val="none"/>
          <w:lang w:val="en-US" w:eastAsia="zh-CN"/>
        </w:rPr>
        <w:t>具体服务内容包括：</w:t>
      </w:r>
    </w:p>
    <w:p w14:paraId="7F5BDC60">
      <w:pPr>
        <w:adjustRightInd w:val="0"/>
        <w:snapToGrid w:val="0"/>
        <w:spacing w:line="288" w:lineRule="auto"/>
        <w:rPr>
          <w:rFonts w:hint="eastAsia"/>
          <w:color w:val="auto"/>
          <w:sz w:val="21"/>
          <w:szCs w:val="21"/>
          <w:highlight w:val="none"/>
          <w:lang w:eastAsia="zh-CN"/>
        </w:rPr>
      </w:pPr>
      <w:r>
        <w:rPr>
          <w:rFonts w:hint="eastAsia"/>
          <w:color w:val="auto"/>
          <w:sz w:val="21"/>
          <w:szCs w:val="21"/>
          <w:highlight w:val="none"/>
          <w:lang w:val="en-US" w:eastAsia="zh-CN"/>
        </w:rPr>
        <w:t>a）</w:t>
      </w:r>
      <w:r>
        <w:rPr>
          <w:rFonts w:hint="eastAsia"/>
          <w:color w:val="auto"/>
          <w:sz w:val="21"/>
          <w:szCs w:val="21"/>
          <w:highlight w:val="none"/>
        </w:rPr>
        <w:t>电池组维护</w:t>
      </w:r>
      <w:r>
        <w:rPr>
          <w:rFonts w:hint="eastAsia"/>
          <w:color w:val="auto"/>
          <w:sz w:val="21"/>
          <w:szCs w:val="21"/>
          <w:highlight w:val="none"/>
          <w:lang w:val="en-US" w:eastAsia="zh-CN"/>
        </w:rPr>
        <w:t>服务</w:t>
      </w:r>
      <w:r>
        <w:rPr>
          <w:rFonts w:hint="eastAsia"/>
          <w:color w:val="auto"/>
          <w:sz w:val="21"/>
          <w:szCs w:val="21"/>
          <w:highlight w:val="none"/>
        </w:rPr>
        <w:t>‌：定期检查电池组的连接点，确保接触严密，无氧化现象</w:t>
      </w:r>
      <w:r>
        <w:rPr>
          <w:rFonts w:hint="eastAsia"/>
          <w:color w:val="auto"/>
          <w:sz w:val="21"/>
          <w:szCs w:val="21"/>
          <w:highlight w:val="none"/>
          <w:lang w:eastAsia="zh-CN"/>
        </w:rPr>
        <w:t>。</w:t>
      </w:r>
    </w:p>
    <w:p w14:paraId="0B5D59CC">
      <w:pPr>
        <w:adjustRightInd w:val="0"/>
        <w:snapToGrid w:val="0"/>
        <w:spacing w:line="288" w:lineRule="auto"/>
        <w:rPr>
          <w:rFonts w:hint="eastAsia"/>
          <w:color w:val="auto"/>
          <w:sz w:val="21"/>
          <w:szCs w:val="21"/>
          <w:highlight w:val="none"/>
          <w:lang w:eastAsia="zh-CN"/>
        </w:rPr>
      </w:pPr>
      <w:r>
        <w:rPr>
          <w:rFonts w:hint="eastAsia"/>
          <w:color w:val="auto"/>
          <w:sz w:val="21"/>
          <w:szCs w:val="21"/>
          <w:highlight w:val="none"/>
          <w:lang w:val="en-US" w:eastAsia="zh-CN"/>
        </w:rPr>
        <w:t>b）</w:t>
      </w:r>
      <w:r>
        <w:rPr>
          <w:rFonts w:hint="default"/>
          <w:color w:val="auto"/>
          <w:sz w:val="21"/>
          <w:szCs w:val="21"/>
          <w:highlight w:val="none"/>
        </w:rPr>
        <w:t>浮充电压</w:t>
      </w:r>
      <w:r>
        <w:rPr>
          <w:rFonts w:hint="eastAsia"/>
          <w:color w:val="auto"/>
          <w:sz w:val="21"/>
          <w:szCs w:val="21"/>
          <w:highlight w:val="none"/>
          <w:lang w:val="en-US" w:eastAsia="zh-CN"/>
        </w:rPr>
        <w:t>设置巡检服务</w:t>
      </w:r>
      <w:r>
        <w:rPr>
          <w:rFonts w:hint="default"/>
          <w:color w:val="auto"/>
          <w:sz w:val="21"/>
          <w:szCs w:val="21"/>
          <w:highlight w:val="none"/>
        </w:rPr>
        <w:t>‌：</w:t>
      </w:r>
      <w:r>
        <w:rPr>
          <w:rFonts w:hint="eastAsia"/>
          <w:color w:val="auto"/>
          <w:sz w:val="21"/>
          <w:szCs w:val="21"/>
          <w:highlight w:val="none"/>
        </w:rPr>
        <w:t>浮充电压应严格按照厂家说明书</w:t>
      </w:r>
      <w:r>
        <w:rPr>
          <w:rFonts w:hint="eastAsia"/>
          <w:color w:val="auto"/>
          <w:sz w:val="21"/>
          <w:szCs w:val="21"/>
          <w:highlight w:val="none"/>
          <w:lang w:val="en-US" w:eastAsia="zh-CN"/>
        </w:rPr>
        <w:t>进行</w:t>
      </w:r>
      <w:r>
        <w:rPr>
          <w:rFonts w:hint="eastAsia"/>
          <w:color w:val="auto"/>
          <w:sz w:val="21"/>
          <w:szCs w:val="21"/>
          <w:highlight w:val="none"/>
        </w:rPr>
        <w:t>设定，避免</w:t>
      </w:r>
      <w:r>
        <w:rPr>
          <w:rFonts w:hint="eastAsia"/>
          <w:color w:val="auto"/>
          <w:sz w:val="21"/>
          <w:szCs w:val="21"/>
          <w:highlight w:val="none"/>
          <w:lang w:val="en-US" w:eastAsia="zh-CN"/>
        </w:rPr>
        <w:t>出现</w:t>
      </w:r>
      <w:r>
        <w:rPr>
          <w:rFonts w:hint="eastAsia"/>
          <w:color w:val="auto"/>
          <w:sz w:val="21"/>
          <w:szCs w:val="21"/>
          <w:highlight w:val="none"/>
        </w:rPr>
        <w:t>过高或过低</w:t>
      </w:r>
      <w:r>
        <w:rPr>
          <w:rFonts w:hint="eastAsia"/>
          <w:color w:val="auto"/>
          <w:sz w:val="21"/>
          <w:szCs w:val="21"/>
          <w:highlight w:val="none"/>
          <w:lang w:eastAsia="zh-CN"/>
        </w:rPr>
        <w:t>的</w:t>
      </w:r>
      <w:r>
        <w:rPr>
          <w:rFonts w:hint="eastAsia"/>
          <w:color w:val="auto"/>
          <w:sz w:val="21"/>
          <w:szCs w:val="21"/>
          <w:highlight w:val="none"/>
          <w:lang w:val="en-US" w:eastAsia="zh-CN"/>
        </w:rPr>
        <w:t>情况</w:t>
      </w:r>
      <w:r>
        <w:rPr>
          <w:rFonts w:hint="eastAsia"/>
          <w:color w:val="auto"/>
          <w:sz w:val="21"/>
          <w:szCs w:val="21"/>
          <w:highlight w:val="none"/>
        </w:rPr>
        <w:t>，定期在线测量各电池端电压</w:t>
      </w:r>
      <w:r>
        <w:rPr>
          <w:rFonts w:hint="eastAsia"/>
          <w:color w:val="auto"/>
          <w:sz w:val="21"/>
          <w:szCs w:val="21"/>
          <w:highlight w:val="none"/>
          <w:lang w:eastAsia="zh-CN"/>
        </w:rPr>
        <w:t>。</w:t>
      </w:r>
    </w:p>
    <w:p w14:paraId="7F8015AA">
      <w:pPr>
        <w:adjustRightInd w:val="0"/>
        <w:snapToGrid w:val="0"/>
        <w:spacing w:line="288" w:lineRule="auto"/>
        <w:rPr>
          <w:rFonts w:hint="eastAsia"/>
          <w:color w:val="auto"/>
          <w:sz w:val="21"/>
          <w:szCs w:val="21"/>
          <w:highlight w:val="none"/>
        </w:rPr>
      </w:pPr>
      <w:r>
        <w:rPr>
          <w:rFonts w:hint="eastAsia"/>
          <w:color w:val="auto"/>
          <w:sz w:val="21"/>
          <w:szCs w:val="21"/>
          <w:highlight w:val="none"/>
          <w:lang w:val="en-US" w:eastAsia="zh-CN"/>
        </w:rPr>
        <w:t>c）</w:t>
      </w:r>
      <w:r>
        <w:rPr>
          <w:rFonts w:hint="default"/>
          <w:color w:val="auto"/>
          <w:sz w:val="21"/>
          <w:szCs w:val="21"/>
          <w:highlight w:val="none"/>
        </w:rPr>
        <w:t>人工放电</w:t>
      </w:r>
      <w:r>
        <w:rPr>
          <w:rFonts w:hint="eastAsia"/>
          <w:color w:val="auto"/>
          <w:sz w:val="21"/>
          <w:szCs w:val="21"/>
          <w:highlight w:val="none"/>
          <w:lang w:val="en-US" w:eastAsia="zh-CN"/>
        </w:rPr>
        <w:t>检测服务</w:t>
      </w:r>
      <w:r>
        <w:rPr>
          <w:rFonts w:hint="eastAsia"/>
          <w:color w:val="auto"/>
          <w:sz w:val="21"/>
          <w:szCs w:val="21"/>
          <w:highlight w:val="none"/>
        </w:rPr>
        <w:t>‌：每半年</w:t>
      </w:r>
      <w:r>
        <w:rPr>
          <w:rFonts w:hint="eastAsia"/>
          <w:color w:val="auto"/>
          <w:sz w:val="21"/>
          <w:szCs w:val="21"/>
          <w:highlight w:val="none"/>
          <w:lang w:eastAsia="zh-CN"/>
        </w:rPr>
        <w:t>，</w:t>
      </w:r>
      <w:r>
        <w:rPr>
          <w:rFonts w:hint="eastAsia"/>
          <w:color w:val="auto"/>
          <w:sz w:val="21"/>
          <w:szCs w:val="21"/>
          <w:highlight w:val="none"/>
          <w:lang w:val="en-US" w:eastAsia="zh-CN"/>
        </w:rPr>
        <w:t>在征得用户同意后，</w:t>
      </w:r>
      <w:r>
        <w:rPr>
          <w:rFonts w:hint="eastAsia"/>
          <w:color w:val="auto"/>
          <w:sz w:val="21"/>
          <w:szCs w:val="21"/>
          <w:highlight w:val="none"/>
        </w:rPr>
        <w:t>进行一次人工放电</w:t>
      </w:r>
      <w:r>
        <w:rPr>
          <w:rFonts w:hint="eastAsia"/>
          <w:color w:val="auto"/>
          <w:sz w:val="21"/>
          <w:szCs w:val="21"/>
          <w:highlight w:val="none"/>
          <w:lang w:val="en-US" w:eastAsia="zh-CN"/>
        </w:rPr>
        <w:t>检测</w:t>
      </w:r>
      <w:r>
        <w:rPr>
          <w:rFonts w:hint="eastAsia"/>
          <w:color w:val="auto"/>
          <w:sz w:val="21"/>
          <w:szCs w:val="21"/>
          <w:highlight w:val="none"/>
        </w:rPr>
        <w:t>，观察电池电压到适当时候再重新合上市电，保证电池活性‌</w:t>
      </w:r>
      <w:r>
        <w:rPr>
          <w:rFonts w:hint="eastAsia"/>
          <w:color w:val="auto"/>
          <w:sz w:val="21"/>
          <w:szCs w:val="21"/>
          <w:highlight w:val="none"/>
          <w:lang w:eastAsia="zh-CN"/>
        </w:rPr>
        <w:t>。</w:t>
      </w:r>
    </w:p>
    <w:p w14:paraId="5671CA4B">
      <w:pPr>
        <w:adjustRightInd w:val="0"/>
        <w:snapToGrid w:val="0"/>
        <w:spacing w:line="288" w:lineRule="auto"/>
        <w:rPr>
          <w:rFonts w:hint="eastAsia"/>
          <w:color w:val="auto"/>
          <w:sz w:val="21"/>
          <w:szCs w:val="21"/>
          <w:highlight w:val="none"/>
        </w:rPr>
      </w:pPr>
      <w:r>
        <w:rPr>
          <w:rFonts w:hint="eastAsia"/>
          <w:color w:val="auto"/>
          <w:sz w:val="21"/>
          <w:szCs w:val="21"/>
          <w:highlight w:val="none"/>
          <w:lang w:val="en-US" w:eastAsia="zh-CN"/>
        </w:rPr>
        <w:t>d）</w:t>
      </w:r>
      <w:r>
        <w:rPr>
          <w:rFonts w:hint="default"/>
          <w:color w:val="auto"/>
          <w:sz w:val="21"/>
          <w:szCs w:val="21"/>
          <w:highlight w:val="none"/>
        </w:rPr>
        <w:t>‌故障处理</w:t>
      </w:r>
      <w:r>
        <w:rPr>
          <w:rFonts w:hint="eastAsia"/>
          <w:color w:val="auto"/>
          <w:sz w:val="21"/>
          <w:szCs w:val="21"/>
          <w:highlight w:val="none"/>
        </w:rPr>
        <w:t>‌：对于蓄电池或充电电路故障，检查充电电路输入输出电压是否正常，必要时更换损坏的蓄电池。</w:t>
      </w:r>
    </w:p>
    <w:p w14:paraId="7215852F">
      <w:pPr>
        <w:adjustRightInd w:val="0"/>
        <w:snapToGrid w:val="0"/>
        <w:spacing w:line="288" w:lineRule="auto"/>
        <w:rPr>
          <w:rFonts w:hint="eastAsia"/>
          <w:color w:val="auto"/>
          <w:sz w:val="21"/>
          <w:szCs w:val="21"/>
          <w:highlight w:val="none"/>
        </w:rPr>
      </w:pPr>
      <w:r>
        <w:rPr>
          <w:rFonts w:hint="eastAsia"/>
          <w:color w:val="auto"/>
          <w:sz w:val="21"/>
          <w:szCs w:val="21"/>
          <w:highlight w:val="none"/>
          <w:lang w:val="en-US" w:eastAsia="zh-CN"/>
        </w:rPr>
        <w:t>2）</w:t>
      </w:r>
      <w:r>
        <w:rPr>
          <w:rFonts w:hint="default"/>
          <w:color w:val="auto"/>
          <w:sz w:val="21"/>
          <w:szCs w:val="21"/>
          <w:highlight w:val="none"/>
        </w:rPr>
        <w:t>UPS搬迁服务</w:t>
      </w:r>
    </w:p>
    <w:p w14:paraId="691A4083">
      <w:pPr>
        <w:adjustRightInd w:val="0"/>
        <w:snapToGrid w:val="0"/>
        <w:spacing w:line="288" w:lineRule="auto"/>
        <w:rPr>
          <w:rFonts w:hint="eastAsia"/>
          <w:color w:val="auto"/>
          <w:sz w:val="21"/>
          <w:szCs w:val="21"/>
          <w:highlight w:val="none"/>
        </w:rPr>
      </w:pPr>
      <w:r>
        <w:rPr>
          <w:rFonts w:hint="eastAsia"/>
          <w:color w:val="auto"/>
          <w:sz w:val="21"/>
          <w:szCs w:val="21"/>
          <w:highlight w:val="none"/>
        </w:rPr>
        <w:t>a)</w:t>
      </w:r>
      <w:r>
        <w:rPr>
          <w:rFonts w:hint="default"/>
          <w:color w:val="auto"/>
          <w:sz w:val="21"/>
          <w:szCs w:val="21"/>
          <w:highlight w:val="none"/>
          <w:lang w:val="en-US" w:eastAsia="zh-CN"/>
        </w:rPr>
        <w:t>搬迁前工作：</w:t>
      </w:r>
      <w:r>
        <w:rPr>
          <w:rFonts w:hint="eastAsia"/>
          <w:color w:val="auto"/>
          <w:sz w:val="21"/>
          <w:szCs w:val="21"/>
          <w:highlight w:val="none"/>
        </w:rPr>
        <w:t>确定搬迁时间、地点、人员和设备等相关信息，准备好搬运工具、安全防护用具</w:t>
      </w:r>
      <w:r>
        <w:rPr>
          <w:rFonts w:hint="eastAsia"/>
          <w:color w:val="auto"/>
          <w:sz w:val="21"/>
          <w:szCs w:val="21"/>
          <w:highlight w:val="none"/>
          <w:lang w:val="en-US" w:eastAsia="zh-CN"/>
        </w:rPr>
        <w:t>及</w:t>
      </w:r>
      <w:r>
        <w:rPr>
          <w:rFonts w:hint="eastAsia"/>
          <w:color w:val="auto"/>
          <w:sz w:val="21"/>
          <w:szCs w:val="21"/>
          <w:highlight w:val="none"/>
        </w:rPr>
        <w:t>后期安装调试工具等</w:t>
      </w:r>
      <w:r>
        <w:rPr>
          <w:rFonts w:hint="eastAsia"/>
          <w:color w:val="auto"/>
          <w:sz w:val="21"/>
          <w:szCs w:val="21"/>
          <w:highlight w:val="none"/>
          <w:lang w:eastAsia="zh-CN"/>
        </w:rPr>
        <w:t>。</w:t>
      </w:r>
    </w:p>
    <w:p w14:paraId="102F2607">
      <w:pPr>
        <w:adjustRightInd w:val="0"/>
        <w:snapToGrid w:val="0"/>
        <w:spacing w:line="288" w:lineRule="auto"/>
        <w:rPr>
          <w:rFonts w:hint="eastAsia"/>
          <w:color w:val="auto"/>
          <w:sz w:val="21"/>
          <w:szCs w:val="21"/>
          <w:highlight w:val="none"/>
          <w:lang w:eastAsia="zh-CN"/>
        </w:rPr>
      </w:pPr>
      <w:r>
        <w:rPr>
          <w:rFonts w:hint="eastAsia"/>
          <w:color w:val="auto"/>
          <w:sz w:val="21"/>
          <w:szCs w:val="21"/>
          <w:highlight w:val="none"/>
        </w:rPr>
        <w:t>b)</w:t>
      </w:r>
      <w:r>
        <w:rPr>
          <w:rFonts w:hint="default"/>
          <w:color w:val="auto"/>
          <w:sz w:val="21"/>
          <w:szCs w:val="21"/>
          <w:highlight w:val="none"/>
          <w:lang w:val="en-US" w:eastAsia="zh-CN"/>
        </w:rPr>
        <w:t>搬迁工作：</w:t>
      </w:r>
      <w:r>
        <w:rPr>
          <w:rFonts w:hint="eastAsia"/>
          <w:color w:val="auto"/>
          <w:sz w:val="21"/>
          <w:szCs w:val="21"/>
          <w:highlight w:val="none"/>
        </w:rPr>
        <w:t>在保证不影响整个系统的情况下</w:t>
      </w:r>
      <w:r>
        <w:rPr>
          <w:rFonts w:hint="eastAsia"/>
          <w:color w:val="auto"/>
          <w:sz w:val="21"/>
          <w:szCs w:val="21"/>
          <w:highlight w:val="none"/>
          <w:lang w:eastAsia="zh-CN"/>
        </w:rPr>
        <w:t>，</w:t>
      </w:r>
      <w:r>
        <w:rPr>
          <w:rFonts w:hint="eastAsia"/>
          <w:color w:val="auto"/>
          <w:sz w:val="21"/>
          <w:szCs w:val="21"/>
          <w:highlight w:val="none"/>
        </w:rPr>
        <w:t>停止UPS系统运行</w:t>
      </w:r>
      <w:r>
        <w:rPr>
          <w:rFonts w:hint="eastAsia"/>
          <w:color w:val="auto"/>
          <w:sz w:val="21"/>
          <w:szCs w:val="21"/>
          <w:highlight w:val="none"/>
          <w:lang w:eastAsia="zh-CN"/>
        </w:rPr>
        <w:t>。</w:t>
      </w:r>
      <w:r>
        <w:rPr>
          <w:rFonts w:hint="eastAsia"/>
          <w:color w:val="auto"/>
          <w:sz w:val="21"/>
          <w:szCs w:val="21"/>
          <w:highlight w:val="none"/>
        </w:rPr>
        <w:t>技术人员在搬运过程中保障UPS设备安全</w:t>
      </w:r>
      <w:r>
        <w:rPr>
          <w:rFonts w:hint="eastAsia"/>
          <w:color w:val="auto"/>
          <w:sz w:val="21"/>
          <w:szCs w:val="21"/>
          <w:highlight w:val="none"/>
          <w:lang w:eastAsia="zh-CN"/>
        </w:rPr>
        <w:t>。</w:t>
      </w:r>
      <w:r>
        <w:rPr>
          <w:rFonts w:hint="eastAsia"/>
          <w:color w:val="auto"/>
          <w:sz w:val="21"/>
          <w:szCs w:val="21"/>
          <w:highlight w:val="none"/>
        </w:rPr>
        <w:t>到达新位置后，在保证安全的情况下完成UPS设备</w:t>
      </w:r>
      <w:r>
        <w:rPr>
          <w:rFonts w:hint="eastAsia"/>
          <w:color w:val="auto"/>
          <w:sz w:val="21"/>
          <w:szCs w:val="21"/>
          <w:highlight w:val="none"/>
          <w:lang w:val="en-US" w:eastAsia="zh-CN"/>
        </w:rPr>
        <w:t>的</w:t>
      </w:r>
      <w:r>
        <w:rPr>
          <w:rFonts w:hint="eastAsia"/>
          <w:color w:val="auto"/>
          <w:sz w:val="21"/>
          <w:szCs w:val="21"/>
          <w:highlight w:val="none"/>
        </w:rPr>
        <w:t>线路连接，进行UPS系统调试</w:t>
      </w:r>
      <w:r>
        <w:rPr>
          <w:rFonts w:hint="eastAsia"/>
          <w:color w:val="auto"/>
          <w:sz w:val="21"/>
          <w:szCs w:val="21"/>
          <w:highlight w:val="none"/>
          <w:lang w:eastAsia="zh-CN"/>
        </w:rPr>
        <w:t>，</w:t>
      </w:r>
      <w:r>
        <w:rPr>
          <w:rFonts w:hint="eastAsia"/>
          <w:color w:val="auto"/>
          <w:sz w:val="21"/>
          <w:szCs w:val="21"/>
          <w:highlight w:val="none"/>
        </w:rPr>
        <w:t>确保系统正常运行</w:t>
      </w:r>
      <w:r>
        <w:rPr>
          <w:rFonts w:hint="eastAsia"/>
          <w:color w:val="auto"/>
          <w:sz w:val="21"/>
          <w:szCs w:val="21"/>
          <w:highlight w:val="none"/>
          <w:lang w:eastAsia="zh-CN"/>
        </w:rPr>
        <w:t>。</w:t>
      </w:r>
    </w:p>
    <w:p w14:paraId="683E1FAF">
      <w:pPr>
        <w:adjustRightInd w:val="0"/>
        <w:snapToGrid w:val="0"/>
        <w:spacing w:line="288" w:lineRule="auto"/>
        <w:rPr>
          <w:rFonts w:hint="eastAsia"/>
          <w:color w:val="auto"/>
          <w:sz w:val="21"/>
          <w:szCs w:val="21"/>
          <w:highlight w:val="none"/>
          <w:lang w:val="en-US" w:eastAsia="zh-CN"/>
        </w:rPr>
      </w:pPr>
      <w:r>
        <w:rPr>
          <w:rFonts w:hint="eastAsia"/>
          <w:color w:val="auto"/>
          <w:sz w:val="21"/>
          <w:szCs w:val="21"/>
          <w:highlight w:val="none"/>
        </w:rPr>
        <w:t>c)</w:t>
      </w:r>
      <w:r>
        <w:rPr>
          <w:rFonts w:hint="default"/>
          <w:color w:val="auto"/>
          <w:sz w:val="21"/>
          <w:szCs w:val="21"/>
          <w:highlight w:val="none"/>
          <w:lang w:val="en-US" w:eastAsia="zh-CN"/>
        </w:rPr>
        <w:t>搬迁后工作：</w:t>
      </w:r>
      <w:r>
        <w:rPr>
          <w:rFonts w:hint="eastAsia"/>
          <w:color w:val="auto"/>
          <w:sz w:val="21"/>
          <w:szCs w:val="21"/>
          <w:highlight w:val="none"/>
          <w:lang w:val="en-US" w:eastAsia="zh-CN"/>
        </w:rPr>
        <w:t>如在搬迁后出现系统故障，及时处理并解决问题。搬迁完成后，对现场进行清理，确保环境整洁。</w:t>
      </w:r>
    </w:p>
    <w:p w14:paraId="46D4286E">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（2）施工总规范与验收标准：</w:t>
      </w:r>
    </w:p>
    <w:p w14:paraId="53D761AA">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▲施工标准要求：整个施工过程需严格遵守《综合布线系统工程验收规范》（GB50312）、《数据中心基础设施施工及验收规范》（GB50462）及《建筑电气工程施工质量验收规范》（GB50303）中的相关规定。</w:t>
      </w:r>
    </w:p>
    <w:p w14:paraId="0400CA4E">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文档交付要求：竣工时需提供完整的测试报告、竣工图纸（含准确的线缆路由和连接信息）、设备清单及质量验收文件。</w:t>
      </w:r>
    </w:p>
    <w:p w14:paraId="2695C1FD">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安全与环保要求：施工过程中需注意安全管理，遵守安全操作规程，施工人员应佩戴必要的安全防护装备。同时，应注意环境保护，施工结束后要及时清理现场。施工期间明确安全责任，做好相应的技术安全培训，若因施工发生意外或造成人员伤亡，由成交供应商承担。成交供应商需对施工人员进行安全教育，与项目无关的人员不得带入校内，若违规造成的后果也由成交供应商承担。</w:t>
      </w:r>
    </w:p>
    <w:p w14:paraId="451434BF">
      <w:pPr>
        <w:widowControl/>
        <w:adjustRightInd w:val="0"/>
        <w:snapToGrid w:val="0"/>
        <w:spacing w:line="288" w:lineRule="auto"/>
        <w:jc w:val="left"/>
        <w:rPr>
          <w:rFonts w:cs="Times New Roman"/>
          <w:color w:val="auto"/>
          <w:sz w:val="21"/>
          <w:szCs w:val="21"/>
          <w:highlight w:val="none"/>
        </w:rPr>
      </w:pPr>
    </w:p>
    <w:p w14:paraId="5EE97F6F">
      <w:pPr>
        <w:adjustRightInd w:val="0"/>
        <w:snapToGrid w:val="0"/>
        <w:spacing w:line="288" w:lineRule="auto"/>
        <w:rPr>
          <w:color w:val="auto"/>
          <w:sz w:val="21"/>
          <w:szCs w:val="21"/>
          <w:highlight w:val="none"/>
        </w:rPr>
      </w:pPr>
    </w:p>
    <w:p w14:paraId="273D2BF7">
      <w:pPr>
        <w:adjustRightInd w:val="0"/>
        <w:snapToGrid w:val="0"/>
        <w:spacing w:line="288" w:lineRule="auto"/>
        <w:jc w:val="center"/>
        <w:outlineLvl w:val="0"/>
        <w:rPr>
          <w:rFonts w:hint="eastAsia" w:eastAsia="宋体"/>
          <w:b/>
          <w:bCs/>
          <w:color w:val="auto"/>
          <w:sz w:val="32"/>
          <w:szCs w:val="32"/>
          <w:highlight w:val="none"/>
          <w:lang w:val="en-US" w:eastAsia="zh-CN"/>
        </w:rPr>
      </w:pPr>
      <w:r>
        <w:rPr>
          <w:rFonts w:hint="eastAsia"/>
          <w:b/>
          <w:bCs/>
          <w:color w:val="auto"/>
          <w:sz w:val="32"/>
          <w:szCs w:val="32"/>
          <w:highlight w:val="none"/>
        </w:rPr>
        <w:t>第</w:t>
      </w:r>
      <w:r>
        <w:rPr>
          <w:rFonts w:hint="eastAsia"/>
          <w:b/>
          <w:bCs/>
          <w:color w:val="auto"/>
          <w:sz w:val="32"/>
          <w:szCs w:val="32"/>
          <w:highlight w:val="none"/>
          <w:lang w:val="en-US" w:eastAsia="zh-CN"/>
        </w:rPr>
        <w:t>三</w:t>
      </w:r>
      <w:r>
        <w:rPr>
          <w:rFonts w:hint="eastAsia"/>
          <w:b/>
          <w:bCs/>
          <w:color w:val="auto"/>
          <w:sz w:val="32"/>
          <w:szCs w:val="32"/>
          <w:highlight w:val="none"/>
        </w:rPr>
        <w:t>章  响应文件</w:t>
      </w:r>
      <w:r>
        <w:rPr>
          <w:rFonts w:hint="eastAsia"/>
          <w:b/>
          <w:bCs/>
          <w:color w:val="auto"/>
          <w:sz w:val="32"/>
          <w:szCs w:val="32"/>
          <w:highlight w:val="none"/>
          <w:lang w:val="en-US" w:eastAsia="zh-CN"/>
        </w:rPr>
        <w:t>要求</w:t>
      </w:r>
    </w:p>
    <w:p w14:paraId="15445C68">
      <w:pPr>
        <w:adjustRightInd w:val="0"/>
        <w:snapToGrid w:val="0"/>
        <w:spacing w:line="288" w:lineRule="auto"/>
        <w:rPr>
          <w:color w:val="auto"/>
          <w:sz w:val="21"/>
          <w:szCs w:val="21"/>
          <w:highlight w:val="none"/>
        </w:rPr>
      </w:pPr>
    </w:p>
    <w:p w14:paraId="0173F638">
      <w:pPr>
        <w:adjustRightInd w:val="0"/>
        <w:snapToGrid w:val="0"/>
        <w:spacing w:line="288" w:lineRule="auto"/>
        <w:jc w:val="center"/>
        <w:rPr>
          <w:b/>
          <w:bCs/>
          <w:color w:val="auto"/>
          <w:sz w:val="21"/>
          <w:szCs w:val="21"/>
          <w:highlight w:val="none"/>
        </w:rPr>
      </w:pPr>
      <w:r>
        <w:rPr>
          <w:rFonts w:hint="eastAsia"/>
          <w:b/>
          <w:bCs/>
          <w:color w:val="auto"/>
          <w:sz w:val="21"/>
          <w:szCs w:val="21"/>
          <w:highlight w:val="none"/>
        </w:rPr>
        <w:t xml:space="preserve">目 </w:t>
      </w:r>
      <w:r>
        <w:rPr>
          <w:b/>
          <w:bCs/>
          <w:color w:val="auto"/>
          <w:sz w:val="21"/>
          <w:szCs w:val="21"/>
          <w:highlight w:val="none"/>
        </w:rPr>
        <w:t xml:space="preserve"> </w:t>
      </w:r>
      <w:r>
        <w:rPr>
          <w:rFonts w:hint="eastAsia"/>
          <w:b/>
          <w:bCs/>
          <w:color w:val="auto"/>
          <w:sz w:val="21"/>
          <w:szCs w:val="21"/>
          <w:highlight w:val="none"/>
        </w:rPr>
        <w:t>录</w:t>
      </w:r>
    </w:p>
    <w:p w14:paraId="69497057">
      <w:pPr>
        <w:adjustRightInd w:val="0"/>
        <w:snapToGrid w:val="0"/>
        <w:spacing w:line="288" w:lineRule="auto"/>
        <w:rPr>
          <w:color w:val="auto"/>
          <w:sz w:val="21"/>
          <w:szCs w:val="21"/>
          <w:highlight w:val="none"/>
        </w:rPr>
      </w:pPr>
    </w:p>
    <w:p w14:paraId="4D46E0C6">
      <w:pPr>
        <w:adjustRightInd w:val="0"/>
        <w:snapToGrid w:val="0"/>
        <w:spacing w:line="288" w:lineRule="auto"/>
        <w:ind w:firstLine="422" w:firstLineChars="200"/>
        <w:rPr>
          <w:b/>
          <w:bCs/>
          <w:color w:val="auto"/>
          <w:sz w:val="21"/>
          <w:szCs w:val="21"/>
          <w:highlight w:val="none"/>
        </w:rPr>
      </w:pPr>
      <w:bookmarkStart w:id="26" w:name="_Hlk71884160"/>
      <w:r>
        <w:rPr>
          <w:rFonts w:hint="eastAsia"/>
          <w:b/>
          <w:bCs/>
          <w:color w:val="auto"/>
          <w:sz w:val="21"/>
          <w:szCs w:val="21"/>
          <w:highlight w:val="none"/>
        </w:rPr>
        <w:t>▲1.资格文件。资格审查要求的资格证明材料（均需加盖公章）</w:t>
      </w:r>
    </w:p>
    <w:bookmarkEnd w:id="26"/>
    <w:p w14:paraId="62923CD6">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（1）有效的法人或者其他组织的营业执照等证明文件，自然人的身份证明</w:t>
      </w:r>
    </w:p>
    <w:p w14:paraId="59993FD8">
      <w:pPr>
        <w:adjustRightInd w:val="0"/>
        <w:snapToGrid w:val="0"/>
        <w:spacing w:line="288" w:lineRule="auto"/>
        <w:ind w:firstLine="420" w:firstLineChars="200"/>
        <w:rPr>
          <w:color w:val="auto"/>
          <w:sz w:val="21"/>
          <w:szCs w:val="21"/>
          <w:highlight w:val="none"/>
        </w:rPr>
      </w:pPr>
      <w:bookmarkStart w:id="27" w:name="_Hlk71884127"/>
      <w:r>
        <w:rPr>
          <w:rFonts w:hint="eastAsia"/>
          <w:color w:val="auto"/>
          <w:sz w:val="21"/>
          <w:szCs w:val="21"/>
          <w:highlight w:val="none"/>
        </w:rPr>
        <w:t>（</w:t>
      </w:r>
      <w:r>
        <w:rPr>
          <w:color w:val="auto"/>
          <w:sz w:val="21"/>
          <w:szCs w:val="21"/>
          <w:highlight w:val="none"/>
        </w:rPr>
        <w:t>2）符合参加政府采购活动应当具备的一般条件的承诺函</w:t>
      </w:r>
    </w:p>
    <w:p w14:paraId="14D7BCC7">
      <w:pPr>
        <w:adjustRightInd w:val="0"/>
        <w:snapToGrid w:val="0"/>
        <w:spacing w:line="288" w:lineRule="auto"/>
        <w:ind w:firstLine="422" w:firstLineChars="200"/>
        <w:rPr>
          <w:b/>
          <w:bCs/>
          <w:color w:val="auto"/>
          <w:sz w:val="21"/>
          <w:szCs w:val="21"/>
          <w:highlight w:val="none"/>
        </w:rPr>
      </w:pPr>
    </w:p>
    <w:bookmarkEnd w:id="27"/>
    <w:p w14:paraId="35225D3E">
      <w:pPr>
        <w:adjustRightInd w:val="0"/>
        <w:snapToGrid w:val="0"/>
        <w:spacing w:line="288" w:lineRule="auto"/>
        <w:ind w:firstLine="422" w:firstLineChars="200"/>
        <w:rPr>
          <w:b/>
          <w:bCs/>
          <w:color w:val="auto"/>
          <w:sz w:val="21"/>
          <w:szCs w:val="21"/>
          <w:highlight w:val="none"/>
        </w:rPr>
      </w:pPr>
      <w:r>
        <w:rPr>
          <w:b/>
          <w:bCs/>
          <w:color w:val="auto"/>
          <w:sz w:val="21"/>
          <w:szCs w:val="21"/>
          <w:highlight w:val="none"/>
        </w:rPr>
        <w:t>2</w:t>
      </w:r>
      <w:r>
        <w:rPr>
          <w:rFonts w:hint="eastAsia"/>
          <w:b/>
          <w:bCs/>
          <w:color w:val="auto"/>
          <w:sz w:val="21"/>
          <w:szCs w:val="21"/>
          <w:highlight w:val="none"/>
        </w:rPr>
        <w:t>.商务和技术文件</w:t>
      </w:r>
    </w:p>
    <w:p w14:paraId="07095ABD">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（1）</w:t>
      </w:r>
      <w:r>
        <w:rPr>
          <w:color w:val="auto"/>
          <w:sz w:val="21"/>
          <w:szCs w:val="21"/>
          <w:highlight w:val="none"/>
        </w:rPr>
        <w:t>授权委托书/法定代表人（单位负责人、自然人本人）身份证明</w:t>
      </w:r>
    </w:p>
    <w:p w14:paraId="39518F80">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附：授权代表社保缴纳证明（2025年02月</w:t>
      </w:r>
      <w:r>
        <w:rPr>
          <w:color w:val="auto"/>
          <w:sz w:val="21"/>
          <w:szCs w:val="21"/>
          <w:highlight w:val="none"/>
        </w:rPr>
        <w:t>（含）以后任意一月）</w:t>
      </w:r>
    </w:p>
    <w:p w14:paraId="6D95EEE8">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2</w:t>
      </w:r>
      <w:r>
        <w:rPr>
          <w:rFonts w:hint="eastAsia"/>
          <w:color w:val="auto"/>
          <w:sz w:val="21"/>
          <w:szCs w:val="21"/>
          <w:highlight w:val="none"/>
        </w:rPr>
        <w:t>）供应商同类合同一览表</w:t>
      </w:r>
    </w:p>
    <w:p w14:paraId="0E1468AE">
      <w:pPr>
        <w:adjustRightInd w:val="0"/>
        <w:snapToGrid w:val="0"/>
        <w:spacing w:line="288" w:lineRule="auto"/>
        <w:ind w:firstLine="420" w:firstLineChars="200"/>
        <w:rPr>
          <w:color w:val="auto"/>
          <w:sz w:val="21"/>
          <w:szCs w:val="21"/>
          <w:highlight w:val="none"/>
        </w:rPr>
      </w:pPr>
      <w:bookmarkStart w:id="28" w:name="_Hlk71884196"/>
      <w:r>
        <w:rPr>
          <w:rFonts w:hint="eastAsia"/>
          <w:color w:val="auto"/>
          <w:sz w:val="21"/>
          <w:szCs w:val="21"/>
          <w:highlight w:val="none"/>
        </w:rPr>
        <w:t>（</w:t>
      </w:r>
      <w:r>
        <w:rPr>
          <w:rFonts w:hint="eastAsia"/>
          <w:color w:val="auto"/>
          <w:sz w:val="21"/>
          <w:szCs w:val="21"/>
          <w:highlight w:val="none"/>
          <w:lang w:val="en-US" w:eastAsia="zh-CN"/>
        </w:rPr>
        <w:t>3</w:t>
      </w:r>
      <w:r>
        <w:rPr>
          <w:color w:val="auto"/>
          <w:sz w:val="21"/>
          <w:szCs w:val="21"/>
          <w:highlight w:val="none"/>
        </w:rPr>
        <w:t>）技术方案：</w:t>
      </w:r>
      <w:r>
        <w:rPr>
          <w:rFonts w:hint="eastAsia"/>
          <w:color w:val="auto"/>
          <w:sz w:val="21"/>
          <w:szCs w:val="21"/>
          <w:highlight w:val="none"/>
          <w:lang w:val="en-US" w:eastAsia="zh-CN"/>
        </w:rPr>
        <w:t>含</w:t>
      </w:r>
      <w:r>
        <w:rPr>
          <w:rFonts w:hint="eastAsia"/>
          <w:color w:val="auto"/>
          <w:sz w:val="21"/>
          <w:szCs w:val="21"/>
          <w:highlight w:val="none"/>
        </w:rPr>
        <w:t>项目技术方案</w:t>
      </w:r>
      <w:r>
        <w:rPr>
          <w:rFonts w:hint="eastAsia"/>
          <w:color w:val="auto"/>
          <w:sz w:val="21"/>
          <w:szCs w:val="21"/>
          <w:highlight w:val="none"/>
          <w:lang w:eastAsia="zh-CN"/>
        </w:rPr>
        <w:t>、</w:t>
      </w:r>
      <w:r>
        <w:rPr>
          <w:rFonts w:hint="eastAsia"/>
          <w:color w:val="auto"/>
          <w:sz w:val="21"/>
          <w:szCs w:val="21"/>
          <w:highlight w:val="none"/>
        </w:rPr>
        <w:t>项目实施方案</w:t>
      </w:r>
      <w:r>
        <w:rPr>
          <w:rFonts w:hint="eastAsia"/>
          <w:color w:val="auto"/>
          <w:sz w:val="21"/>
          <w:szCs w:val="21"/>
          <w:highlight w:val="none"/>
          <w:lang w:eastAsia="zh-CN"/>
        </w:rPr>
        <w:t>、</w:t>
      </w:r>
      <w:r>
        <w:rPr>
          <w:rFonts w:hint="eastAsia"/>
          <w:color w:val="auto"/>
          <w:sz w:val="21"/>
          <w:szCs w:val="21"/>
          <w:highlight w:val="none"/>
        </w:rPr>
        <w:t>安装调试方案</w:t>
      </w:r>
      <w:r>
        <w:rPr>
          <w:rFonts w:hint="eastAsia"/>
          <w:color w:val="auto"/>
          <w:sz w:val="21"/>
          <w:szCs w:val="21"/>
          <w:highlight w:val="none"/>
          <w:lang w:eastAsia="zh-CN"/>
        </w:rPr>
        <w:t>、</w:t>
      </w:r>
      <w:r>
        <w:rPr>
          <w:rFonts w:hint="eastAsia"/>
          <w:color w:val="auto"/>
          <w:sz w:val="21"/>
          <w:szCs w:val="21"/>
          <w:highlight w:val="none"/>
        </w:rPr>
        <w:t>售后服务</w:t>
      </w:r>
    </w:p>
    <w:p w14:paraId="21A868BE">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4</w:t>
      </w:r>
      <w:r>
        <w:rPr>
          <w:color w:val="auto"/>
          <w:sz w:val="21"/>
          <w:szCs w:val="21"/>
          <w:highlight w:val="none"/>
        </w:rPr>
        <w:t>）</w:t>
      </w:r>
      <w:r>
        <w:rPr>
          <w:rFonts w:hint="eastAsia"/>
          <w:color w:val="auto"/>
          <w:sz w:val="21"/>
          <w:szCs w:val="21"/>
          <w:highlight w:val="none"/>
        </w:rPr>
        <w:t>供应商</w:t>
      </w:r>
      <w:r>
        <w:rPr>
          <w:color w:val="auto"/>
          <w:sz w:val="21"/>
          <w:szCs w:val="21"/>
          <w:highlight w:val="none"/>
        </w:rPr>
        <w:t>需要说明的其他文件和材料</w:t>
      </w:r>
      <w:bookmarkEnd w:id="28"/>
    </w:p>
    <w:p w14:paraId="20DB0A94">
      <w:pPr>
        <w:adjustRightInd w:val="0"/>
        <w:snapToGrid w:val="0"/>
        <w:spacing w:line="288" w:lineRule="auto"/>
        <w:ind w:firstLine="420" w:firstLineChars="200"/>
        <w:rPr>
          <w:color w:val="auto"/>
          <w:sz w:val="21"/>
          <w:szCs w:val="21"/>
          <w:highlight w:val="none"/>
        </w:rPr>
      </w:pPr>
    </w:p>
    <w:p w14:paraId="3EF80DE0">
      <w:pPr>
        <w:adjustRightInd w:val="0"/>
        <w:snapToGrid w:val="0"/>
        <w:spacing w:line="288" w:lineRule="auto"/>
        <w:ind w:firstLine="422" w:firstLineChars="200"/>
        <w:rPr>
          <w:b/>
          <w:bCs/>
          <w:color w:val="auto"/>
          <w:sz w:val="21"/>
          <w:szCs w:val="21"/>
          <w:highlight w:val="none"/>
        </w:rPr>
      </w:pPr>
      <w:r>
        <w:rPr>
          <w:b/>
          <w:bCs/>
          <w:color w:val="auto"/>
          <w:sz w:val="21"/>
          <w:szCs w:val="21"/>
          <w:highlight w:val="none"/>
        </w:rPr>
        <w:t>3</w:t>
      </w:r>
      <w:r>
        <w:rPr>
          <w:rFonts w:hint="eastAsia"/>
          <w:b/>
          <w:bCs/>
          <w:color w:val="auto"/>
          <w:sz w:val="21"/>
          <w:szCs w:val="21"/>
          <w:highlight w:val="none"/>
        </w:rPr>
        <w:t>.报价文件</w:t>
      </w:r>
    </w:p>
    <w:p w14:paraId="11ACB8A4">
      <w:pPr>
        <w:adjustRightInd w:val="0"/>
        <w:snapToGrid w:val="0"/>
        <w:spacing w:line="288" w:lineRule="auto"/>
        <w:ind w:firstLine="420" w:firstLineChars="200"/>
        <w:rPr>
          <w:color w:val="auto"/>
          <w:sz w:val="21"/>
          <w:szCs w:val="21"/>
          <w:highlight w:val="none"/>
        </w:rPr>
      </w:pPr>
      <w:r>
        <w:rPr>
          <w:rFonts w:hint="eastAsia"/>
          <w:color w:val="auto"/>
          <w:sz w:val="21"/>
          <w:szCs w:val="21"/>
          <w:highlight w:val="none"/>
        </w:rPr>
        <w:t>（1）报价一览表</w:t>
      </w:r>
    </w:p>
    <w:p w14:paraId="3725CC2B">
      <w:pPr>
        <w:widowControl/>
        <w:jc w:val="left"/>
        <w:rPr>
          <w:color w:val="auto"/>
          <w:sz w:val="21"/>
          <w:szCs w:val="21"/>
          <w:highlight w:val="none"/>
        </w:rPr>
      </w:pPr>
    </w:p>
    <w:sectPr>
      <w:headerReference r:id="rId3" w:type="default"/>
      <w:footerReference r:id="rId4" w:type="default"/>
      <w:pgSz w:w="11906" w:h="16838"/>
      <w:pgMar w:top="1247" w:right="1247" w:bottom="1247" w:left="1247" w:header="142" w:footer="7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85B13">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AB2D">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5MWEzOGY1NjkxOWZiZDI0OTM5YTNjMzU4M2E3NDYifQ=="/>
  </w:docVars>
  <w:rsids>
    <w:rsidRoot w:val="0035197B"/>
    <w:rsid w:val="00012C95"/>
    <w:rsid w:val="00013E80"/>
    <w:rsid w:val="000275B5"/>
    <w:rsid w:val="00031EB0"/>
    <w:rsid w:val="00034ECF"/>
    <w:rsid w:val="0004655A"/>
    <w:rsid w:val="00067F0A"/>
    <w:rsid w:val="000A696F"/>
    <w:rsid w:val="000E015C"/>
    <w:rsid w:val="000E4B39"/>
    <w:rsid w:val="000E686A"/>
    <w:rsid w:val="00103286"/>
    <w:rsid w:val="001101B8"/>
    <w:rsid w:val="00120B93"/>
    <w:rsid w:val="00121087"/>
    <w:rsid w:val="001344C6"/>
    <w:rsid w:val="00135034"/>
    <w:rsid w:val="00135905"/>
    <w:rsid w:val="00155438"/>
    <w:rsid w:val="001619EB"/>
    <w:rsid w:val="001718FF"/>
    <w:rsid w:val="00172C87"/>
    <w:rsid w:val="0017776E"/>
    <w:rsid w:val="00192592"/>
    <w:rsid w:val="0019429E"/>
    <w:rsid w:val="001A02BC"/>
    <w:rsid w:val="001D1FD7"/>
    <w:rsid w:val="001E1F6A"/>
    <w:rsid w:val="001F0BC9"/>
    <w:rsid w:val="00215143"/>
    <w:rsid w:val="00216C31"/>
    <w:rsid w:val="002221ED"/>
    <w:rsid w:val="00232E27"/>
    <w:rsid w:val="00252BBD"/>
    <w:rsid w:val="00256B2D"/>
    <w:rsid w:val="00256F5C"/>
    <w:rsid w:val="0026429E"/>
    <w:rsid w:val="002645F1"/>
    <w:rsid w:val="00273815"/>
    <w:rsid w:val="002A0C91"/>
    <w:rsid w:val="002B128F"/>
    <w:rsid w:val="002C0A7E"/>
    <w:rsid w:val="002C5476"/>
    <w:rsid w:val="002E3481"/>
    <w:rsid w:val="002E7EC7"/>
    <w:rsid w:val="002F0514"/>
    <w:rsid w:val="002F7386"/>
    <w:rsid w:val="00300130"/>
    <w:rsid w:val="00325E65"/>
    <w:rsid w:val="00344D04"/>
    <w:rsid w:val="00346F18"/>
    <w:rsid w:val="0035197B"/>
    <w:rsid w:val="00354FD0"/>
    <w:rsid w:val="0037718A"/>
    <w:rsid w:val="00381B9A"/>
    <w:rsid w:val="003B0D36"/>
    <w:rsid w:val="003C5FBC"/>
    <w:rsid w:val="003D63D7"/>
    <w:rsid w:val="003E40CB"/>
    <w:rsid w:val="003F6796"/>
    <w:rsid w:val="00425942"/>
    <w:rsid w:val="00430A9C"/>
    <w:rsid w:val="00445A56"/>
    <w:rsid w:val="0047535D"/>
    <w:rsid w:val="00480212"/>
    <w:rsid w:val="0048526C"/>
    <w:rsid w:val="00494ECD"/>
    <w:rsid w:val="004B14E4"/>
    <w:rsid w:val="004B1ED6"/>
    <w:rsid w:val="004B32DB"/>
    <w:rsid w:val="004C7C81"/>
    <w:rsid w:val="004D4B7B"/>
    <w:rsid w:val="004D62CC"/>
    <w:rsid w:val="004F0091"/>
    <w:rsid w:val="00505CF1"/>
    <w:rsid w:val="00506ED4"/>
    <w:rsid w:val="00511E9E"/>
    <w:rsid w:val="00527477"/>
    <w:rsid w:val="00530743"/>
    <w:rsid w:val="00535E12"/>
    <w:rsid w:val="0054355F"/>
    <w:rsid w:val="0055045F"/>
    <w:rsid w:val="00551DAC"/>
    <w:rsid w:val="00553F33"/>
    <w:rsid w:val="00560DEC"/>
    <w:rsid w:val="00565520"/>
    <w:rsid w:val="005729D7"/>
    <w:rsid w:val="00590C97"/>
    <w:rsid w:val="00591C68"/>
    <w:rsid w:val="005B2955"/>
    <w:rsid w:val="005D064A"/>
    <w:rsid w:val="005E3478"/>
    <w:rsid w:val="00605C23"/>
    <w:rsid w:val="00611721"/>
    <w:rsid w:val="00631B4E"/>
    <w:rsid w:val="0063741D"/>
    <w:rsid w:val="006402AB"/>
    <w:rsid w:val="00642879"/>
    <w:rsid w:val="0066727E"/>
    <w:rsid w:val="006760E3"/>
    <w:rsid w:val="0068690D"/>
    <w:rsid w:val="006A0B04"/>
    <w:rsid w:val="006A2B3D"/>
    <w:rsid w:val="006A49D8"/>
    <w:rsid w:val="006B5B13"/>
    <w:rsid w:val="006C174D"/>
    <w:rsid w:val="006E6002"/>
    <w:rsid w:val="007133EB"/>
    <w:rsid w:val="00723439"/>
    <w:rsid w:val="00742B14"/>
    <w:rsid w:val="007526AF"/>
    <w:rsid w:val="0076422D"/>
    <w:rsid w:val="007663BA"/>
    <w:rsid w:val="0077456A"/>
    <w:rsid w:val="00792093"/>
    <w:rsid w:val="007A10F7"/>
    <w:rsid w:val="007A25F7"/>
    <w:rsid w:val="007A7BFD"/>
    <w:rsid w:val="007D5140"/>
    <w:rsid w:val="007E55F1"/>
    <w:rsid w:val="008115EE"/>
    <w:rsid w:val="00813E3D"/>
    <w:rsid w:val="00814863"/>
    <w:rsid w:val="00834B9A"/>
    <w:rsid w:val="00835A1C"/>
    <w:rsid w:val="0085070B"/>
    <w:rsid w:val="008543A5"/>
    <w:rsid w:val="00855401"/>
    <w:rsid w:val="00876F5F"/>
    <w:rsid w:val="008772E5"/>
    <w:rsid w:val="00882FF5"/>
    <w:rsid w:val="0089630B"/>
    <w:rsid w:val="008A1372"/>
    <w:rsid w:val="008A2856"/>
    <w:rsid w:val="008A5689"/>
    <w:rsid w:val="0091334C"/>
    <w:rsid w:val="00913E41"/>
    <w:rsid w:val="0093186F"/>
    <w:rsid w:val="009429A3"/>
    <w:rsid w:val="00964C48"/>
    <w:rsid w:val="0096732E"/>
    <w:rsid w:val="009675F7"/>
    <w:rsid w:val="00982682"/>
    <w:rsid w:val="00986D07"/>
    <w:rsid w:val="00993992"/>
    <w:rsid w:val="009C7C60"/>
    <w:rsid w:val="009D5C59"/>
    <w:rsid w:val="009D6F21"/>
    <w:rsid w:val="009D7781"/>
    <w:rsid w:val="009E2396"/>
    <w:rsid w:val="009E49F7"/>
    <w:rsid w:val="009F2877"/>
    <w:rsid w:val="00A13935"/>
    <w:rsid w:val="00A14301"/>
    <w:rsid w:val="00A274AC"/>
    <w:rsid w:val="00A343F7"/>
    <w:rsid w:val="00A353D5"/>
    <w:rsid w:val="00A57F6A"/>
    <w:rsid w:val="00A60FF3"/>
    <w:rsid w:val="00A6518E"/>
    <w:rsid w:val="00A86BED"/>
    <w:rsid w:val="00AA00CD"/>
    <w:rsid w:val="00AB236A"/>
    <w:rsid w:val="00AE1930"/>
    <w:rsid w:val="00AE569F"/>
    <w:rsid w:val="00AE5F71"/>
    <w:rsid w:val="00AE7589"/>
    <w:rsid w:val="00AE76FE"/>
    <w:rsid w:val="00B004AC"/>
    <w:rsid w:val="00B01AA1"/>
    <w:rsid w:val="00B10E10"/>
    <w:rsid w:val="00B15905"/>
    <w:rsid w:val="00BB31A4"/>
    <w:rsid w:val="00BB6045"/>
    <w:rsid w:val="00BD4D1E"/>
    <w:rsid w:val="00BD5E66"/>
    <w:rsid w:val="00BE2C76"/>
    <w:rsid w:val="00BF2AEA"/>
    <w:rsid w:val="00BF5EB4"/>
    <w:rsid w:val="00C17E09"/>
    <w:rsid w:val="00C2023B"/>
    <w:rsid w:val="00C2248E"/>
    <w:rsid w:val="00C2776F"/>
    <w:rsid w:val="00C44792"/>
    <w:rsid w:val="00C478D7"/>
    <w:rsid w:val="00C7172E"/>
    <w:rsid w:val="00C7221B"/>
    <w:rsid w:val="00C766F5"/>
    <w:rsid w:val="00C93017"/>
    <w:rsid w:val="00C943A5"/>
    <w:rsid w:val="00C97794"/>
    <w:rsid w:val="00CA293F"/>
    <w:rsid w:val="00CA5975"/>
    <w:rsid w:val="00CB56DC"/>
    <w:rsid w:val="00CE7CA6"/>
    <w:rsid w:val="00CF273E"/>
    <w:rsid w:val="00CF2E63"/>
    <w:rsid w:val="00D00B3B"/>
    <w:rsid w:val="00D0127D"/>
    <w:rsid w:val="00D06F51"/>
    <w:rsid w:val="00D11601"/>
    <w:rsid w:val="00D16917"/>
    <w:rsid w:val="00D211CE"/>
    <w:rsid w:val="00D317F8"/>
    <w:rsid w:val="00D51B1F"/>
    <w:rsid w:val="00D52A86"/>
    <w:rsid w:val="00D92B74"/>
    <w:rsid w:val="00D961D0"/>
    <w:rsid w:val="00D9733D"/>
    <w:rsid w:val="00DB4791"/>
    <w:rsid w:val="00DB5D1B"/>
    <w:rsid w:val="00DB7C4C"/>
    <w:rsid w:val="00DC2167"/>
    <w:rsid w:val="00DD0CAC"/>
    <w:rsid w:val="00DE0C5F"/>
    <w:rsid w:val="00DF1406"/>
    <w:rsid w:val="00DF2130"/>
    <w:rsid w:val="00DF5A9F"/>
    <w:rsid w:val="00E21BEE"/>
    <w:rsid w:val="00E22C25"/>
    <w:rsid w:val="00E230FF"/>
    <w:rsid w:val="00E3624F"/>
    <w:rsid w:val="00E4559E"/>
    <w:rsid w:val="00E52B31"/>
    <w:rsid w:val="00E70D67"/>
    <w:rsid w:val="00E8510B"/>
    <w:rsid w:val="00E9212A"/>
    <w:rsid w:val="00E946F3"/>
    <w:rsid w:val="00EB1C8D"/>
    <w:rsid w:val="00EB700F"/>
    <w:rsid w:val="00EC091A"/>
    <w:rsid w:val="00ED1230"/>
    <w:rsid w:val="00EF5E13"/>
    <w:rsid w:val="00EF6F8D"/>
    <w:rsid w:val="00F156DB"/>
    <w:rsid w:val="00F55B07"/>
    <w:rsid w:val="00F61206"/>
    <w:rsid w:val="00F71A17"/>
    <w:rsid w:val="00F74EE3"/>
    <w:rsid w:val="00F91463"/>
    <w:rsid w:val="00FA22BD"/>
    <w:rsid w:val="00FB794A"/>
    <w:rsid w:val="00FC2099"/>
    <w:rsid w:val="00FC2885"/>
    <w:rsid w:val="00FC6AF5"/>
    <w:rsid w:val="00FE0706"/>
    <w:rsid w:val="00FF1A14"/>
    <w:rsid w:val="02327749"/>
    <w:rsid w:val="02DF53A3"/>
    <w:rsid w:val="060960BF"/>
    <w:rsid w:val="06F25FCE"/>
    <w:rsid w:val="0CF34325"/>
    <w:rsid w:val="10A834A6"/>
    <w:rsid w:val="14D5616E"/>
    <w:rsid w:val="15ED232D"/>
    <w:rsid w:val="160A0117"/>
    <w:rsid w:val="17DA1F39"/>
    <w:rsid w:val="1C286552"/>
    <w:rsid w:val="1CC72D6E"/>
    <w:rsid w:val="1D121E99"/>
    <w:rsid w:val="1D340697"/>
    <w:rsid w:val="20383B83"/>
    <w:rsid w:val="242931E7"/>
    <w:rsid w:val="25EA5B4F"/>
    <w:rsid w:val="28220306"/>
    <w:rsid w:val="297E4A9C"/>
    <w:rsid w:val="2B731BD4"/>
    <w:rsid w:val="2DC72F38"/>
    <w:rsid w:val="2DE74C9D"/>
    <w:rsid w:val="318921E5"/>
    <w:rsid w:val="31B732C3"/>
    <w:rsid w:val="37AA0086"/>
    <w:rsid w:val="3FE16D38"/>
    <w:rsid w:val="44E103F4"/>
    <w:rsid w:val="44F7454B"/>
    <w:rsid w:val="46742991"/>
    <w:rsid w:val="471825FE"/>
    <w:rsid w:val="48211CD3"/>
    <w:rsid w:val="49F96717"/>
    <w:rsid w:val="4C793DF2"/>
    <w:rsid w:val="4DD059E1"/>
    <w:rsid w:val="4E7D6D7D"/>
    <w:rsid w:val="4F8151E4"/>
    <w:rsid w:val="4F8567F3"/>
    <w:rsid w:val="508825A3"/>
    <w:rsid w:val="514753BC"/>
    <w:rsid w:val="51665039"/>
    <w:rsid w:val="51942202"/>
    <w:rsid w:val="52DB7463"/>
    <w:rsid w:val="59011144"/>
    <w:rsid w:val="5A5F26D4"/>
    <w:rsid w:val="5B012F28"/>
    <w:rsid w:val="5BFD69A3"/>
    <w:rsid w:val="5D41435A"/>
    <w:rsid w:val="6265548D"/>
    <w:rsid w:val="6412273A"/>
    <w:rsid w:val="66CE5F3A"/>
    <w:rsid w:val="680F1CC5"/>
    <w:rsid w:val="68D93CAA"/>
    <w:rsid w:val="6A00049E"/>
    <w:rsid w:val="6D372F2F"/>
    <w:rsid w:val="6E142639"/>
    <w:rsid w:val="6E290AC9"/>
    <w:rsid w:val="6ED3687D"/>
    <w:rsid w:val="75EA008C"/>
    <w:rsid w:val="76797A09"/>
    <w:rsid w:val="7B0C2C60"/>
    <w:rsid w:val="7D074354"/>
    <w:rsid w:val="7EA01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4"/>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cs="Times New Roman"/>
      <w:b/>
      <w:bCs/>
      <w:sz w:val="32"/>
      <w:szCs w:val="32"/>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rPr>
      <w:rFonts w:ascii="Times New Roman" w:hAnsi="Times New Roman" w:cs="Times New Roman"/>
      <w:sz w:val="28"/>
    </w:rPr>
  </w:style>
  <w:style w:type="paragraph" w:styleId="4">
    <w:name w:val="Body Text"/>
    <w:basedOn w:val="1"/>
    <w:link w:val="33"/>
    <w:qFormat/>
    <w:uiPriority w:val="0"/>
    <w:pPr>
      <w:spacing w:after="120"/>
    </w:pPr>
  </w:style>
  <w:style w:type="paragraph" w:styleId="5">
    <w:name w:val="Body Text Indent"/>
    <w:basedOn w:val="1"/>
    <w:link w:val="24"/>
    <w:qFormat/>
    <w:uiPriority w:val="0"/>
    <w:pPr>
      <w:spacing w:line="200" w:lineRule="atLeast"/>
      <w:ind w:firstLine="301"/>
    </w:pPr>
    <w:rPr>
      <w:rFonts w:hAnsi="Courier New" w:cs="Times New Roman"/>
      <w:spacing w:val="-4"/>
      <w:sz w:val="18"/>
      <w:szCs w:val="20"/>
    </w:rPr>
  </w:style>
  <w:style w:type="paragraph" w:styleId="6">
    <w:name w:val="Plain Text"/>
    <w:basedOn w:val="1"/>
    <w:link w:val="34"/>
    <w:semiHidden/>
    <w:unhideWhenUsed/>
    <w:qFormat/>
    <w:uiPriority w:val="99"/>
    <w:rPr>
      <w:rFonts w:hAnsi="Courier New" w:cs="Courier New" w:asciiTheme="minorEastAsia" w:eastAsiaTheme="minorEastAsia"/>
    </w:rPr>
  </w:style>
  <w:style w:type="paragraph" w:styleId="7">
    <w:name w:val="Balloon Text"/>
    <w:basedOn w:val="1"/>
    <w:link w:val="23"/>
    <w:qFormat/>
    <w:uiPriority w:val="0"/>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rPr>
  </w:style>
  <w:style w:type="paragraph" w:styleId="11">
    <w:name w:val="Normal (Web)"/>
    <w:basedOn w:val="1"/>
    <w:unhideWhenUsed/>
    <w:qFormat/>
    <w:uiPriority w:val="99"/>
    <w:pPr>
      <w:widowControl/>
      <w:spacing w:before="100" w:beforeAutospacing="1" w:after="100" w:afterAutospacing="1"/>
      <w:jc w:val="left"/>
    </w:pPr>
    <w:rPr>
      <w:kern w:val="0"/>
    </w:rPr>
  </w:style>
  <w:style w:type="paragraph" w:styleId="12">
    <w:name w:val="annotation subject"/>
    <w:basedOn w:val="3"/>
    <w:next w:val="3"/>
    <w:link w:val="31"/>
    <w:semiHidden/>
    <w:unhideWhenUsed/>
    <w:qFormat/>
    <w:uiPriority w:val="0"/>
    <w:rPr>
      <w:rFonts w:ascii="宋体" w:hAnsi="宋体" w:cs="宋体"/>
      <w:b/>
      <w:bCs/>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000FF"/>
      <w:u w:val="single"/>
    </w:rPr>
  </w:style>
  <w:style w:type="character" w:styleId="18">
    <w:name w:val="annotation reference"/>
    <w:unhideWhenUsed/>
    <w:qFormat/>
    <w:uiPriority w:val="99"/>
    <w:rPr>
      <w:sz w:val="21"/>
      <w:szCs w:val="21"/>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character" w:customStyle="1" w:styleId="21">
    <w:name w:val="批注文字 字符"/>
    <w:basedOn w:val="15"/>
    <w:link w:val="3"/>
    <w:qFormat/>
    <w:uiPriority w:val="99"/>
    <w:rPr>
      <w:rFonts w:ascii="Times New Roman" w:hAnsi="Times New Roman" w:eastAsia="宋体" w:cs="Times New Roman"/>
      <w:sz w:val="28"/>
      <w:szCs w:val="24"/>
    </w:rPr>
  </w:style>
  <w:style w:type="character" w:customStyle="1" w:styleId="22">
    <w:name w:val="正文文本缩进 字符"/>
    <w:basedOn w:val="15"/>
    <w:qFormat/>
    <w:uiPriority w:val="0"/>
    <w:rPr>
      <w:rFonts w:ascii="宋体" w:hAnsi="宋体" w:eastAsia="宋体" w:cs="宋体"/>
      <w:sz w:val="24"/>
      <w:szCs w:val="24"/>
    </w:rPr>
  </w:style>
  <w:style w:type="character" w:customStyle="1" w:styleId="23">
    <w:name w:val="批注框文本 字符"/>
    <w:basedOn w:val="15"/>
    <w:link w:val="7"/>
    <w:qFormat/>
    <w:uiPriority w:val="0"/>
    <w:rPr>
      <w:rFonts w:ascii="宋体" w:hAnsi="宋体" w:eastAsia="宋体" w:cs="宋体"/>
      <w:sz w:val="18"/>
      <w:szCs w:val="18"/>
    </w:rPr>
  </w:style>
  <w:style w:type="character" w:customStyle="1" w:styleId="24">
    <w:name w:val="正文文本缩进 字符1"/>
    <w:link w:val="5"/>
    <w:qFormat/>
    <w:uiPriority w:val="0"/>
    <w:rPr>
      <w:rFonts w:ascii="宋体" w:hAnsi="Courier New" w:eastAsia="宋体" w:cs="Times New Roman"/>
      <w:spacing w:val="-4"/>
      <w:sz w:val="18"/>
      <w:szCs w:val="20"/>
    </w:rPr>
  </w:style>
  <w:style w:type="character" w:customStyle="1" w:styleId="25">
    <w:name w:val="正文文本缩进 字符2"/>
    <w:qFormat/>
    <w:uiPriority w:val="0"/>
    <w:rPr>
      <w:rFonts w:ascii="宋体" w:hAnsi="Courier New"/>
      <w:spacing w:val="-4"/>
      <w:kern w:val="2"/>
      <w:sz w:val="18"/>
    </w:rPr>
  </w:style>
  <w:style w:type="character" w:customStyle="1" w:styleId="26">
    <w:name w:val="未处理的提及1"/>
    <w:basedOn w:val="15"/>
    <w:semiHidden/>
    <w:unhideWhenUsed/>
    <w:qFormat/>
    <w:uiPriority w:val="99"/>
    <w:rPr>
      <w:color w:val="605E5C"/>
      <w:shd w:val="clear" w:color="auto" w:fill="E1DFDD"/>
    </w:rPr>
  </w:style>
  <w:style w:type="paragraph" w:styleId="27">
    <w:name w:val="List Paragraph"/>
    <w:basedOn w:val="1"/>
    <w:qFormat/>
    <w:uiPriority w:val="99"/>
    <w:pPr>
      <w:ind w:firstLine="420" w:firstLineChars="200"/>
    </w:pPr>
  </w:style>
  <w:style w:type="paragraph" w:customStyle="1" w:styleId="28">
    <w:name w:val="纯文本1"/>
    <w:basedOn w:val="1"/>
    <w:next w:val="6"/>
    <w:link w:val="30"/>
    <w:qFormat/>
    <w:uiPriority w:val="99"/>
    <w:pPr>
      <w:spacing w:before="156" w:beforeLines="50" w:after="156" w:afterLines="50" w:line="400" w:lineRule="atLeast"/>
    </w:pPr>
    <w:rPr>
      <w:rFonts w:hAnsi="Courier New" w:cs="Times New Roman"/>
    </w:rPr>
  </w:style>
  <w:style w:type="character" w:customStyle="1" w:styleId="29">
    <w:name w:val="纯文本 字符"/>
    <w:basedOn w:val="15"/>
    <w:qFormat/>
    <w:uiPriority w:val="0"/>
    <w:rPr>
      <w:rFonts w:ascii="宋体" w:hAnsi="Courier New" w:eastAsia="宋体" w:cs="Courier New"/>
      <w:kern w:val="2"/>
      <w:sz w:val="24"/>
      <w:szCs w:val="24"/>
    </w:rPr>
  </w:style>
  <w:style w:type="character" w:customStyle="1" w:styleId="30">
    <w:name w:val="纯文本 字符1"/>
    <w:link w:val="28"/>
    <w:qFormat/>
    <w:uiPriority w:val="99"/>
    <w:rPr>
      <w:rFonts w:ascii="宋体" w:hAnsi="Courier New" w:eastAsia="宋体" w:cs="Times New Roman"/>
      <w:kern w:val="2"/>
      <w:sz w:val="24"/>
      <w:szCs w:val="24"/>
    </w:rPr>
  </w:style>
  <w:style w:type="character" w:customStyle="1" w:styleId="31">
    <w:name w:val="批注主题 字符"/>
    <w:basedOn w:val="21"/>
    <w:link w:val="12"/>
    <w:semiHidden/>
    <w:qFormat/>
    <w:uiPriority w:val="0"/>
    <w:rPr>
      <w:rFonts w:ascii="宋体" w:hAnsi="宋体" w:eastAsia="宋体" w:cs="宋体"/>
      <w:b/>
      <w:bCs/>
      <w:sz w:val="24"/>
      <w:szCs w:val="24"/>
    </w:rPr>
  </w:style>
  <w:style w:type="character" w:customStyle="1" w:styleId="32">
    <w:name w:val="未处理的提及2"/>
    <w:basedOn w:val="15"/>
    <w:semiHidden/>
    <w:unhideWhenUsed/>
    <w:qFormat/>
    <w:uiPriority w:val="99"/>
    <w:rPr>
      <w:color w:val="605E5C"/>
      <w:shd w:val="clear" w:color="auto" w:fill="E1DFDD"/>
    </w:rPr>
  </w:style>
  <w:style w:type="character" w:customStyle="1" w:styleId="33">
    <w:name w:val="正文文本 字符"/>
    <w:basedOn w:val="15"/>
    <w:link w:val="4"/>
    <w:qFormat/>
    <w:uiPriority w:val="0"/>
    <w:rPr>
      <w:rFonts w:ascii="宋体" w:hAnsi="宋体" w:eastAsia="宋体" w:cs="宋体"/>
      <w:sz w:val="24"/>
      <w:szCs w:val="24"/>
    </w:rPr>
  </w:style>
  <w:style w:type="character" w:customStyle="1" w:styleId="34">
    <w:name w:val="纯文本 字符2"/>
    <w:basedOn w:val="15"/>
    <w:link w:val="6"/>
    <w:semiHidden/>
    <w:qFormat/>
    <w:uiPriority w:val="99"/>
    <w:rPr>
      <w:rFonts w:hAnsi="Courier New" w:cs="Courier New" w:asciiTheme="minorEastAsia"/>
      <w:sz w:val="24"/>
      <w:szCs w:val="24"/>
    </w:rPr>
  </w:style>
  <w:style w:type="table" w:customStyle="1" w:styleId="35">
    <w:name w:val="网格型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Default"/>
    <w:next w:val="3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_Style 1"/>
    <w:qFormat/>
    <w:uiPriority w:val="0"/>
    <w:pPr>
      <w:spacing w:after="160" w:line="278" w:lineRule="auto"/>
    </w:pPr>
    <w:rPr>
      <w:rFonts w:ascii="Calibri" w:hAnsi="Calibri" w:eastAsia="宋体" w:cs="Times New Roman"/>
      <w:kern w:val="2"/>
      <w:sz w:val="28"/>
      <w:szCs w:val="22"/>
      <w:lang w:val="en-US" w:eastAsia="zh-CN" w:bidi="ar-SA"/>
    </w:rPr>
  </w:style>
  <w:style w:type="character" w:customStyle="1" w:styleId="39">
    <w:name w:val="font31"/>
    <w:basedOn w:val="15"/>
    <w:qFormat/>
    <w:uiPriority w:val="0"/>
    <w:rPr>
      <w:rFonts w:hint="eastAsia" w:ascii="宋体" w:hAnsi="宋体" w:eastAsia="宋体" w:cs="宋体"/>
      <w:color w:val="000000"/>
      <w:sz w:val="20"/>
      <w:szCs w:val="20"/>
      <w:u w:val="none"/>
    </w:rPr>
  </w:style>
  <w:style w:type="character" w:customStyle="1" w:styleId="40">
    <w:name w:val="font41"/>
    <w:basedOn w:val="15"/>
    <w:qFormat/>
    <w:uiPriority w:val="0"/>
    <w:rPr>
      <w:rFonts w:hint="eastAsia" w:ascii="宋体" w:hAnsi="宋体" w:eastAsia="宋体" w:cs="宋体"/>
      <w:color w:val="000000"/>
      <w:sz w:val="21"/>
      <w:szCs w:val="21"/>
      <w:u w:val="none"/>
    </w:rPr>
  </w:style>
  <w:style w:type="character" w:customStyle="1" w:styleId="41">
    <w:name w:val="font61"/>
    <w:basedOn w:val="15"/>
    <w:qFormat/>
    <w:uiPriority w:val="0"/>
    <w:rPr>
      <w:rFonts w:hint="default" w:ascii="Times New Roman" w:hAnsi="Times New Roman" w:cs="Times New Roman"/>
      <w:color w:val="FF0000"/>
      <w:sz w:val="21"/>
      <w:szCs w:val="21"/>
      <w:u w:val="none"/>
    </w:rPr>
  </w:style>
  <w:style w:type="character" w:customStyle="1" w:styleId="42">
    <w:name w:val="font51"/>
    <w:basedOn w:val="15"/>
    <w:qFormat/>
    <w:uiPriority w:val="0"/>
    <w:rPr>
      <w:rFonts w:hint="eastAsia" w:ascii="宋体" w:hAnsi="宋体" w:eastAsia="宋体" w:cs="宋体"/>
      <w:color w:val="FF0000"/>
      <w:sz w:val="21"/>
      <w:szCs w:val="21"/>
      <w:u w:val="none"/>
    </w:rPr>
  </w:style>
  <w:style w:type="paragraph" w:styleId="43">
    <w:name w:val="No Spacing"/>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Revision"/>
    <w:hidden/>
    <w:unhideWhenUsed/>
    <w:qFormat/>
    <w:uiPriority w:val="99"/>
    <w:rPr>
      <w:rFonts w:ascii="宋体" w:hAnsi="宋体" w:eastAsia="宋体" w:cs="宋体"/>
      <w:kern w:val="2"/>
      <w:sz w:val="24"/>
      <w:szCs w:val="24"/>
      <w:lang w:val="en-US" w:eastAsia="zh-CN" w:bidi="ar-SA"/>
    </w:rPr>
  </w:style>
  <w:style w:type="paragraph" w:customStyle="1" w:styleId="45">
    <w:name w:val="无间隔1"/>
    <w:qFormat/>
    <w:uiPriority w:val="0"/>
    <w:rPr>
      <w:rFonts w:ascii="Times New Roman" w:hAnsi="Times New Roman" w:eastAsia="PMingLiU" w:cs="Times New Roman"/>
      <w:snapToGrid w:val="0"/>
      <w:sz w:val="22"/>
      <w:szCs w:val="22"/>
      <w:lang w:val="en-US" w:eastAsia="zh-TW" w:bidi="ar-SA"/>
    </w:rPr>
  </w:style>
  <w:style w:type="paragraph" w:customStyle="1" w:styleId="46">
    <w:name w:val="列出段落"/>
    <w:basedOn w:val="1"/>
    <w:qFormat/>
    <w:uiPriority w:val="34"/>
    <w:pPr>
      <w:ind w:firstLine="420" w:firstLineChars="200"/>
    </w:pPr>
    <w:rPr>
      <w:rFonts w:ascii="Times New Roman" w:hAnsi="Times New Roman" w:cs="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2241</Words>
  <Characters>2402</Characters>
  <Lines>1273</Lines>
  <Paragraphs>1320</Paragraphs>
  <TotalTime>8</TotalTime>
  <ScaleCrop>false</ScaleCrop>
  <LinksUpToDate>false</LinksUpToDate>
  <CharactersWithSpaces>2418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2022-07-12T02:25:00Z</dcterms:created>
  <dc:creator>j hj</dc:creator>
  <cp:lastModifiedBy>WPS_1605054406</cp:lastModifiedBy>
  <dcterms:modified xsi:type="dcterms:W3CDTF">2025-10-31T06:56:59Z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F34C372BBA5E48FE8804BAA6A0764E05_13</vt:lpwstr>
  </property>
  <property fmtid="{D5CDD505-2E9C-101B-9397-08002B2CF9AE}" pid="4" name="KSOTemplateDocerSaveRecord">
    <vt:lpwstr>eyJoZGlkIjoiNDg5ZmYyZmY0ZWZlMTc3NmY2MDRiOTgxYmNlYzc1YjYiLCJ1c2VySWQiOiIxMTQyMjQxNTQyIn0=</vt:lpwstr>
  </property>
</Properties>
</file>